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000" w:firstRow="0" w:lastRow="0" w:firstColumn="0" w:lastColumn="0" w:noHBand="0" w:noVBand="0"/>
      </w:tblPr>
      <w:tblGrid>
        <w:gridCol w:w="5958"/>
        <w:gridCol w:w="3618"/>
      </w:tblGrid>
      <w:tr w:rsidR="008A470E" w:rsidRPr="00355A1B" w14:paraId="018A6438" w14:textId="77777777" w:rsidTr="00CA250B">
        <w:trPr>
          <w:trHeight w:val="323"/>
        </w:trPr>
        <w:tc>
          <w:tcPr>
            <w:tcW w:w="3111" w:type="pct"/>
            <w:tcBorders>
              <w:top w:val="single" w:sz="4" w:space="0" w:color="000000"/>
              <w:left w:val="single" w:sz="4" w:space="0" w:color="000000"/>
              <w:bottom w:val="single" w:sz="4" w:space="0" w:color="000000"/>
              <w:right w:val="single" w:sz="4" w:space="0" w:color="000000"/>
            </w:tcBorders>
          </w:tcPr>
          <w:p w14:paraId="6DBFC7AF" w14:textId="77777777" w:rsidR="008A470E" w:rsidRPr="00355A1B" w:rsidRDefault="008A470E" w:rsidP="00F04B45">
            <w:pPr>
              <w:pStyle w:val="Default"/>
              <w:jc w:val="both"/>
              <w:rPr>
                <w:rFonts w:ascii="Lato" w:hAnsi="Lato" w:cs="Arial"/>
                <w:b/>
                <w:bCs/>
                <w:color w:val="auto"/>
                <w:sz w:val="20"/>
                <w:szCs w:val="20"/>
              </w:rPr>
            </w:pPr>
            <w:r w:rsidRPr="00355A1B">
              <w:rPr>
                <w:rFonts w:ascii="Lato" w:hAnsi="Lato" w:cs="Arial"/>
                <w:b/>
                <w:bCs/>
                <w:color w:val="auto"/>
                <w:sz w:val="20"/>
                <w:szCs w:val="20"/>
              </w:rPr>
              <w:t xml:space="preserve">Client: </w:t>
            </w:r>
            <w:r w:rsidRPr="00355A1B">
              <w:rPr>
                <w:rFonts w:ascii="Lato" w:hAnsi="Lato" w:cs="Arial"/>
                <w:bCs/>
                <w:color w:val="auto"/>
                <w:sz w:val="20"/>
                <w:szCs w:val="20"/>
              </w:rPr>
              <w:t>ABC Bangladesh Limited</w:t>
            </w:r>
          </w:p>
        </w:tc>
        <w:tc>
          <w:tcPr>
            <w:tcW w:w="1889" w:type="pct"/>
            <w:tcBorders>
              <w:top w:val="single" w:sz="4" w:space="0" w:color="000000"/>
              <w:left w:val="single" w:sz="4" w:space="0" w:color="000000"/>
              <w:bottom w:val="single" w:sz="4" w:space="0" w:color="000000"/>
              <w:right w:val="single" w:sz="4" w:space="0" w:color="000000"/>
            </w:tcBorders>
          </w:tcPr>
          <w:p w14:paraId="715C6B39" w14:textId="77777777" w:rsidR="008A470E" w:rsidRPr="00355A1B" w:rsidRDefault="008A470E" w:rsidP="00F04B45">
            <w:pPr>
              <w:pStyle w:val="Default"/>
              <w:jc w:val="both"/>
              <w:rPr>
                <w:rFonts w:ascii="Lato" w:hAnsi="Lato" w:cs="Arial"/>
                <w:b/>
                <w:bCs/>
                <w:color w:val="auto"/>
                <w:sz w:val="20"/>
                <w:szCs w:val="20"/>
              </w:rPr>
            </w:pPr>
            <w:r w:rsidRPr="00355A1B">
              <w:rPr>
                <w:rFonts w:ascii="Lato" w:hAnsi="Lato" w:cs="Arial"/>
                <w:b/>
                <w:bCs/>
                <w:color w:val="auto"/>
                <w:sz w:val="20"/>
                <w:szCs w:val="20"/>
              </w:rPr>
              <w:t xml:space="preserve">Year End: </w:t>
            </w:r>
          </w:p>
        </w:tc>
      </w:tr>
      <w:tr w:rsidR="00CA250B" w:rsidRPr="00355A1B" w14:paraId="2B48FB22" w14:textId="77777777" w:rsidTr="00CA250B">
        <w:trPr>
          <w:trHeight w:val="323"/>
        </w:trPr>
        <w:tc>
          <w:tcPr>
            <w:tcW w:w="3111" w:type="pct"/>
            <w:tcBorders>
              <w:top w:val="single" w:sz="4" w:space="0" w:color="000000"/>
              <w:left w:val="single" w:sz="4" w:space="0" w:color="000000"/>
              <w:bottom w:val="single" w:sz="4" w:space="0" w:color="000000"/>
              <w:right w:val="single" w:sz="4" w:space="0" w:color="000000"/>
            </w:tcBorders>
          </w:tcPr>
          <w:p w14:paraId="35336B39" w14:textId="77777777" w:rsidR="00CA250B" w:rsidRPr="00355A1B" w:rsidRDefault="00CA250B" w:rsidP="00F04B45">
            <w:pPr>
              <w:pStyle w:val="Default"/>
              <w:jc w:val="both"/>
              <w:rPr>
                <w:rFonts w:ascii="Lato" w:hAnsi="Lato" w:cs="Arial"/>
                <w:b/>
                <w:bCs/>
                <w:color w:val="auto"/>
                <w:sz w:val="20"/>
                <w:szCs w:val="20"/>
              </w:rPr>
            </w:pPr>
            <w:r w:rsidRPr="00355A1B">
              <w:rPr>
                <w:rFonts w:ascii="Lato" w:hAnsi="Lato" w:cs="Arial"/>
                <w:b/>
                <w:bCs/>
                <w:color w:val="auto"/>
                <w:sz w:val="20"/>
                <w:szCs w:val="20"/>
              </w:rPr>
              <w:t xml:space="preserve">Subject: </w:t>
            </w:r>
            <w:r w:rsidRPr="00355A1B">
              <w:rPr>
                <w:rFonts w:ascii="Lato" w:hAnsi="Lato" w:cs="Arial"/>
                <w:bCs/>
                <w:color w:val="auto"/>
                <w:sz w:val="20"/>
                <w:szCs w:val="20"/>
              </w:rPr>
              <w:t xml:space="preserve">Understanding the </w:t>
            </w:r>
            <w:r w:rsidR="00C46298" w:rsidRPr="00355A1B">
              <w:rPr>
                <w:rFonts w:ascii="Lato" w:hAnsi="Lato" w:cs="Arial"/>
                <w:bCs/>
                <w:color w:val="auto"/>
                <w:sz w:val="20"/>
                <w:szCs w:val="20"/>
              </w:rPr>
              <w:t>entity</w:t>
            </w:r>
            <w:r w:rsidRPr="00355A1B">
              <w:rPr>
                <w:rFonts w:ascii="Lato" w:hAnsi="Lato" w:cs="Arial"/>
                <w:bCs/>
                <w:color w:val="auto"/>
                <w:sz w:val="20"/>
                <w:szCs w:val="20"/>
              </w:rPr>
              <w:t xml:space="preserve"> and its environment</w:t>
            </w:r>
          </w:p>
        </w:tc>
        <w:tc>
          <w:tcPr>
            <w:tcW w:w="1889" w:type="pct"/>
            <w:tcBorders>
              <w:top w:val="single" w:sz="4" w:space="0" w:color="000000"/>
              <w:left w:val="single" w:sz="4" w:space="0" w:color="000000"/>
              <w:bottom w:val="single" w:sz="4" w:space="0" w:color="000000"/>
              <w:right w:val="single" w:sz="4" w:space="0" w:color="000000"/>
            </w:tcBorders>
          </w:tcPr>
          <w:p w14:paraId="10A52A00" w14:textId="77777777" w:rsidR="00CA250B" w:rsidRPr="00355A1B" w:rsidRDefault="00CA250B" w:rsidP="00F04B45">
            <w:pPr>
              <w:pStyle w:val="Default"/>
              <w:jc w:val="both"/>
              <w:rPr>
                <w:rFonts w:ascii="Lato" w:hAnsi="Lato" w:cs="Arial"/>
                <w:b/>
                <w:bCs/>
                <w:color w:val="auto"/>
                <w:sz w:val="20"/>
                <w:szCs w:val="20"/>
              </w:rPr>
            </w:pPr>
          </w:p>
        </w:tc>
      </w:tr>
    </w:tbl>
    <w:p w14:paraId="29D7213B" w14:textId="77777777" w:rsidR="002D0C10" w:rsidRPr="00355A1B" w:rsidRDefault="002D0C10" w:rsidP="00F04B45">
      <w:pPr>
        <w:pStyle w:val="Default"/>
        <w:jc w:val="both"/>
        <w:rPr>
          <w:rFonts w:ascii="Lato" w:hAnsi="Lato" w:cs="Arial"/>
          <w:color w:val="auto"/>
          <w:sz w:val="20"/>
          <w:szCs w:val="20"/>
        </w:rPr>
      </w:pPr>
    </w:p>
    <w:p w14:paraId="3D229669" w14:textId="77777777" w:rsidR="002C56AF" w:rsidRPr="00355A1B" w:rsidRDefault="00391BF1" w:rsidP="00F04B45">
      <w:pPr>
        <w:pStyle w:val="Default"/>
        <w:jc w:val="both"/>
        <w:rPr>
          <w:rFonts w:ascii="Lato" w:hAnsi="Lato" w:cs="Arial"/>
          <w:b/>
          <w:color w:val="auto"/>
          <w:sz w:val="20"/>
          <w:szCs w:val="20"/>
        </w:rPr>
      </w:pPr>
      <w:r w:rsidRPr="00355A1B">
        <w:rPr>
          <w:rFonts w:ascii="Lato" w:hAnsi="Lato" w:cs="Arial"/>
          <w:b/>
          <w:color w:val="auto"/>
          <w:sz w:val="20"/>
          <w:szCs w:val="20"/>
        </w:rPr>
        <w:t>Contents</w:t>
      </w:r>
    </w:p>
    <w:p w14:paraId="72F0FE4A" w14:textId="77777777" w:rsidR="00391BF1" w:rsidRPr="00355A1B" w:rsidRDefault="00391BF1" w:rsidP="00F04B45">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Company profile</w:t>
      </w:r>
    </w:p>
    <w:p w14:paraId="225851A0" w14:textId="77777777" w:rsidR="00391BF1" w:rsidRPr="00355A1B" w:rsidRDefault="00391BF1" w:rsidP="00F04B45">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Nature of business</w:t>
      </w:r>
    </w:p>
    <w:p w14:paraId="31401A9A" w14:textId="77777777" w:rsidR="00391BF1" w:rsidRPr="00355A1B" w:rsidRDefault="00391BF1" w:rsidP="00F04B45">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Ownership structure</w:t>
      </w:r>
    </w:p>
    <w:p w14:paraId="0349579F" w14:textId="77777777" w:rsidR="00391BF1" w:rsidRPr="00355A1B" w:rsidRDefault="00391BF1" w:rsidP="00F04B45">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Corporate governance- Ownership structure, roles, responsibilities and functions of the board</w:t>
      </w:r>
    </w:p>
    <w:p w14:paraId="2FB321CA" w14:textId="77777777" w:rsidR="00391BF1" w:rsidRPr="00355A1B" w:rsidRDefault="00391BF1" w:rsidP="00391BF1">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Reporting and Communication</w:t>
      </w:r>
    </w:p>
    <w:p w14:paraId="0624109D" w14:textId="77777777" w:rsidR="00391BF1" w:rsidRPr="00355A1B" w:rsidRDefault="00391BF1" w:rsidP="00391BF1">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Communication with share holders</w:t>
      </w:r>
    </w:p>
    <w:p w14:paraId="309E136E" w14:textId="77777777" w:rsidR="00391BF1" w:rsidRPr="00355A1B" w:rsidRDefault="00391BF1" w:rsidP="00391BF1">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Internal audit function</w:t>
      </w:r>
    </w:p>
    <w:p w14:paraId="3B5C25DF" w14:textId="77777777" w:rsidR="00391BF1" w:rsidRPr="00355A1B" w:rsidRDefault="00391BF1" w:rsidP="00391BF1">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Sources of fund</w:t>
      </w:r>
    </w:p>
    <w:p w14:paraId="5925BDB8" w14:textId="77777777" w:rsidR="00391BF1" w:rsidRPr="00355A1B" w:rsidRDefault="00391BF1" w:rsidP="00391BF1">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Objectives</w:t>
      </w:r>
    </w:p>
    <w:p w14:paraId="17EC104A" w14:textId="77777777" w:rsidR="00391BF1" w:rsidRPr="00355A1B" w:rsidRDefault="00391BF1" w:rsidP="00391BF1">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Operational activities</w:t>
      </w:r>
    </w:p>
    <w:p w14:paraId="5639B58E" w14:textId="77777777" w:rsidR="00391BF1" w:rsidRPr="00355A1B" w:rsidRDefault="00391BF1" w:rsidP="00391BF1">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Customers, suppliers</w:t>
      </w:r>
    </w:p>
    <w:p w14:paraId="7EF6FE25" w14:textId="77777777" w:rsidR="00391BF1" w:rsidRPr="00355A1B" w:rsidRDefault="00391BF1" w:rsidP="00391BF1">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Employees</w:t>
      </w:r>
    </w:p>
    <w:p w14:paraId="6480D16B" w14:textId="77777777" w:rsidR="00391BF1" w:rsidRPr="00355A1B" w:rsidRDefault="00391BF1" w:rsidP="00391BF1">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The entity’s industry and environment</w:t>
      </w:r>
    </w:p>
    <w:p w14:paraId="3CEED900" w14:textId="77777777" w:rsidR="00391BF1" w:rsidRPr="00355A1B" w:rsidRDefault="00391BF1" w:rsidP="00391BF1">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Economic, political and social environment</w:t>
      </w:r>
    </w:p>
    <w:p w14:paraId="3207BAC1" w14:textId="77777777" w:rsidR="00391BF1" w:rsidRPr="00355A1B" w:rsidRDefault="00391BF1" w:rsidP="00391BF1">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Legal and regulatory environment</w:t>
      </w:r>
    </w:p>
    <w:p w14:paraId="6D944B36" w14:textId="77777777" w:rsidR="00391BF1" w:rsidRPr="00355A1B" w:rsidRDefault="00391BF1" w:rsidP="00391BF1">
      <w:pPr>
        <w:pStyle w:val="Default"/>
        <w:numPr>
          <w:ilvl w:val="0"/>
          <w:numId w:val="38"/>
        </w:numPr>
        <w:jc w:val="both"/>
        <w:rPr>
          <w:rFonts w:ascii="Lato" w:hAnsi="Lato" w:cs="Arial"/>
          <w:color w:val="auto"/>
          <w:sz w:val="20"/>
          <w:szCs w:val="20"/>
        </w:rPr>
      </w:pPr>
      <w:r w:rsidRPr="00355A1B">
        <w:rPr>
          <w:rFonts w:ascii="Lato" w:hAnsi="Lato" w:cs="Arial"/>
          <w:color w:val="auto"/>
          <w:sz w:val="20"/>
          <w:szCs w:val="20"/>
        </w:rPr>
        <w:t xml:space="preserve">Accounting framework </w:t>
      </w:r>
    </w:p>
    <w:p w14:paraId="6D16534C" w14:textId="77777777" w:rsidR="00391BF1" w:rsidRPr="00355A1B" w:rsidRDefault="00391BF1" w:rsidP="00391BF1">
      <w:pPr>
        <w:pStyle w:val="Default"/>
        <w:numPr>
          <w:ilvl w:val="0"/>
          <w:numId w:val="38"/>
        </w:numPr>
        <w:jc w:val="both"/>
        <w:rPr>
          <w:rFonts w:ascii="Lato" w:hAnsi="Lato" w:cs="Arial"/>
          <w:b/>
          <w:color w:val="auto"/>
          <w:sz w:val="20"/>
          <w:szCs w:val="20"/>
        </w:rPr>
      </w:pPr>
      <w:r w:rsidRPr="00355A1B">
        <w:rPr>
          <w:rFonts w:ascii="Lato" w:hAnsi="Lato" w:cs="Arial"/>
          <w:color w:val="auto"/>
          <w:sz w:val="20"/>
          <w:szCs w:val="20"/>
        </w:rPr>
        <w:t>Significant Accounting policies</w:t>
      </w:r>
    </w:p>
    <w:p w14:paraId="0C866E0B" w14:textId="77777777" w:rsidR="00391BF1" w:rsidRPr="00355A1B" w:rsidRDefault="00391BF1" w:rsidP="00F04B45">
      <w:pPr>
        <w:pStyle w:val="Default"/>
        <w:jc w:val="both"/>
        <w:rPr>
          <w:rFonts w:ascii="Lato" w:hAnsi="Lato" w:cs="Arial"/>
          <w:b/>
          <w:color w:val="auto"/>
          <w:sz w:val="20"/>
          <w:szCs w:val="20"/>
        </w:rPr>
      </w:pPr>
    </w:p>
    <w:p w14:paraId="3787240B" w14:textId="77777777" w:rsidR="006E0C41" w:rsidRPr="00355A1B" w:rsidRDefault="006E0C41" w:rsidP="00F04B45">
      <w:pPr>
        <w:widowControl/>
        <w:jc w:val="both"/>
        <w:rPr>
          <w:rFonts w:ascii="Lato" w:hAnsi="Lato" w:cs="Arial"/>
          <w:b/>
          <w:bCs/>
          <w:iCs/>
        </w:rPr>
      </w:pPr>
      <w:r w:rsidRPr="00355A1B">
        <w:rPr>
          <w:rFonts w:ascii="Lato" w:hAnsi="Lato" w:cs="Arial"/>
          <w:b/>
          <w:bCs/>
          <w:iCs/>
        </w:rPr>
        <w:t>Company profile:</w:t>
      </w:r>
    </w:p>
    <w:p w14:paraId="567E8DB1" w14:textId="77777777" w:rsidR="006E0C41" w:rsidRPr="00355A1B" w:rsidRDefault="006E0C41" w:rsidP="00F04B45">
      <w:pPr>
        <w:widowControl/>
        <w:jc w:val="both"/>
        <w:rPr>
          <w:rFonts w:ascii="Lato" w:hAnsi="Lato" w:cs="Arial"/>
          <w:b/>
          <w:bCs/>
          <w:iCs/>
        </w:rPr>
      </w:pPr>
    </w:p>
    <w:p w14:paraId="500E9505" w14:textId="77777777" w:rsidR="006E0C41" w:rsidRPr="00355A1B" w:rsidRDefault="0088090E" w:rsidP="00F04B45">
      <w:pPr>
        <w:widowControl/>
        <w:jc w:val="both"/>
        <w:rPr>
          <w:rFonts w:ascii="Lato" w:hAnsi="Lato" w:cs="Arial"/>
          <w:bCs/>
          <w:iCs/>
        </w:rPr>
      </w:pPr>
      <w:r w:rsidRPr="00355A1B">
        <w:rPr>
          <w:rFonts w:ascii="Lato" w:hAnsi="Lato" w:cs="Arial"/>
          <w:bCs/>
          <w:iCs/>
        </w:rPr>
        <w:t>XYZ</w:t>
      </w:r>
      <w:r w:rsidR="009644F3" w:rsidRPr="00355A1B">
        <w:rPr>
          <w:rFonts w:ascii="Lato" w:hAnsi="Lato" w:cs="Arial"/>
          <w:bCs/>
          <w:iCs/>
        </w:rPr>
        <w:t xml:space="preserve"> Ltd</w:t>
      </w:r>
      <w:r w:rsidR="006E0C41" w:rsidRPr="00355A1B">
        <w:rPr>
          <w:rFonts w:ascii="Lato" w:hAnsi="Lato" w:cs="Arial"/>
          <w:bCs/>
          <w:iCs/>
        </w:rPr>
        <w:t xml:space="preserve"> was incorporated in Bangladesh on the </w:t>
      </w:r>
      <w:r w:rsidRPr="00355A1B">
        <w:rPr>
          <w:rFonts w:ascii="Lato" w:hAnsi="Lato" w:cs="Arial"/>
          <w:bCs/>
          <w:iCs/>
        </w:rPr>
        <w:t>[</w:t>
      </w:r>
      <w:r w:rsidRPr="00355A1B">
        <w:rPr>
          <w:rFonts w:ascii="Lato" w:hAnsi="Lato" w:cs="Arial"/>
          <w:bCs/>
          <w:i/>
          <w:iCs/>
        </w:rPr>
        <w:t>Date Month Year</w:t>
      </w:r>
      <w:r w:rsidRPr="00355A1B">
        <w:rPr>
          <w:rFonts w:ascii="Lato" w:hAnsi="Lato" w:cs="Arial"/>
          <w:bCs/>
          <w:iCs/>
        </w:rPr>
        <w:t>]</w:t>
      </w:r>
      <w:r w:rsidR="006B0B1D" w:rsidRPr="00355A1B">
        <w:rPr>
          <w:rFonts w:ascii="Lato" w:hAnsi="Lato" w:cs="Arial"/>
          <w:bCs/>
          <w:iCs/>
        </w:rPr>
        <w:t xml:space="preserve"> as a private Ltd company in </w:t>
      </w:r>
      <w:r w:rsidR="00BD325E" w:rsidRPr="00355A1B">
        <w:rPr>
          <w:rFonts w:ascii="Lato" w:hAnsi="Lato" w:cs="Arial"/>
          <w:bCs/>
          <w:iCs/>
        </w:rPr>
        <w:t>Bangladesh</w:t>
      </w:r>
      <w:r w:rsidR="006B0B1D" w:rsidRPr="00355A1B">
        <w:rPr>
          <w:rFonts w:ascii="Lato" w:hAnsi="Lato" w:cs="Arial"/>
          <w:bCs/>
          <w:iCs/>
        </w:rPr>
        <w:t xml:space="preserve"> under companies Act </w:t>
      </w:r>
      <w:r w:rsidR="00AF292D" w:rsidRPr="00355A1B">
        <w:rPr>
          <w:rFonts w:ascii="Lato" w:hAnsi="Lato" w:cs="Arial"/>
          <w:bCs/>
          <w:iCs/>
        </w:rPr>
        <w:t xml:space="preserve">1994. </w:t>
      </w:r>
      <w:r w:rsidR="006E0C41" w:rsidRPr="00355A1B">
        <w:rPr>
          <w:rFonts w:ascii="Lato" w:hAnsi="Lato" w:cs="Arial"/>
          <w:bCs/>
          <w:iCs/>
        </w:rPr>
        <w:t xml:space="preserve">This Company also obtained listing with Dhaka Stock Exchange </w:t>
      </w:r>
      <w:r w:rsidR="005D635B" w:rsidRPr="00355A1B">
        <w:rPr>
          <w:rFonts w:ascii="Lato" w:hAnsi="Lato" w:cs="Arial"/>
          <w:bCs/>
          <w:iCs/>
        </w:rPr>
        <w:t xml:space="preserve">and Chittagong Stock Exchange </w:t>
      </w:r>
      <w:r w:rsidR="006E0C41" w:rsidRPr="00355A1B">
        <w:rPr>
          <w:rFonts w:ascii="Lato" w:hAnsi="Lato" w:cs="Arial"/>
          <w:bCs/>
          <w:iCs/>
        </w:rPr>
        <w:t xml:space="preserve">on </w:t>
      </w:r>
      <w:r w:rsidR="005D635B" w:rsidRPr="00355A1B">
        <w:rPr>
          <w:rFonts w:ascii="Lato" w:hAnsi="Lato" w:cs="Arial"/>
          <w:bCs/>
          <w:iCs/>
        </w:rPr>
        <w:t>[</w:t>
      </w:r>
      <w:r w:rsidR="005D635B" w:rsidRPr="00355A1B">
        <w:rPr>
          <w:rFonts w:ascii="Lato" w:hAnsi="Lato" w:cs="Arial"/>
          <w:bCs/>
          <w:i/>
          <w:iCs/>
        </w:rPr>
        <w:t>Date Month Year</w:t>
      </w:r>
      <w:r w:rsidR="009644F3" w:rsidRPr="00355A1B">
        <w:rPr>
          <w:rFonts w:ascii="Lato" w:hAnsi="Lato" w:cs="Arial"/>
          <w:bCs/>
          <w:i/>
          <w:iCs/>
        </w:rPr>
        <w:t>]</w:t>
      </w:r>
    </w:p>
    <w:p w14:paraId="5A77B2DD" w14:textId="77777777" w:rsidR="006E0C41" w:rsidRPr="00355A1B" w:rsidRDefault="006E0C41" w:rsidP="00F04B45">
      <w:pPr>
        <w:widowControl/>
        <w:jc w:val="both"/>
        <w:rPr>
          <w:rFonts w:ascii="Lato" w:hAnsi="Lato" w:cs="Arial"/>
          <w:bCs/>
          <w:iCs/>
        </w:rPr>
      </w:pPr>
    </w:p>
    <w:p w14:paraId="3D159E27" w14:textId="77777777" w:rsidR="006E0C41" w:rsidRPr="00355A1B" w:rsidRDefault="006E0C41" w:rsidP="00F04B45">
      <w:pPr>
        <w:widowControl/>
        <w:jc w:val="both"/>
        <w:rPr>
          <w:rFonts w:ascii="Lato" w:hAnsi="Lato" w:cs="Arial"/>
          <w:b/>
          <w:bCs/>
          <w:iCs/>
        </w:rPr>
      </w:pPr>
      <w:r w:rsidRPr="00355A1B">
        <w:rPr>
          <w:rFonts w:ascii="Lato" w:hAnsi="Lato" w:cs="Arial"/>
          <w:b/>
          <w:bCs/>
          <w:iCs/>
        </w:rPr>
        <w:t xml:space="preserve">Nature of Business: </w:t>
      </w:r>
    </w:p>
    <w:p w14:paraId="01611E28" w14:textId="77777777" w:rsidR="006E0C41" w:rsidRPr="00355A1B" w:rsidRDefault="006E0C41" w:rsidP="00F04B45">
      <w:pPr>
        <w:widowControl/>
        <w:jc w:val="both"/>
        <w:rPr>
          <w:rFonts w:ascii="Lato" w:hAnsi="Lato" w:cs="Arial"/>
          <w:bCs/>
          <w:iCs/>
        </w:rPr>
      </w:pPr>
    </w:p>
    <w:p w14:paraId="05CE8BCC" w14:textId="77777777" w:rsidR="006E0C41" w:rsidRPr="00355A1B" w:rsidRDefault="0088090E" w:rsidP="00F04B45">
      <w:pPr>
        <w:widowControl/>
        <w:jc w:val="both"/>
        <w:rPr>
          <w:rFonts w:ascii="Lato" w:hAnsi="Lato" w:cs="Arial"/>
          <w:bCs/>
          <w:iCs/>
        </w:rPr>
      </w:pPr>
      <w:r w:rsidRPr="00355A1B">
        <w:rPr>
          <w:rFonts w:ascii="Lato" w:hAnsi="Lato" w:cs="Arial"/>
          <w:bCs/>
          <w:iCs/>
        </w:rPr>
        <w:t>XYZ</w:t>
      </w:r>
      <w:r w:rsidR="009644F3" w:rsidRPr="00355A1B">
        <w:rPr>
          <w:rFonts w:ascii="Lato" w:hAnsi="Lato" w:cs="Arial"/>
          <w:bCs/>
          <w:iCs/>
        </w:rPr>
        <w:t xml:space="preserve"> </w:t>
      </w:r>
      <w:r w:rsidR="00D70B02" w:rsidRPr="00355A1B">
        <w:rPr>
          <w:rFonts w:ascii="Lato" w:hAnsi="Lato" w:cs="Arial"/>
          <w:bCs/>
          <w:iCs/>
        </w:rPr>
        <w:t>provides</w:t>
      </w:r>
      <w:r w:rsidR="006E0C41" w:rsidRPr="00355A1B">
        <w:rPr>
          <w:rFonts w:ascii="Lato" w:hAnsi="Lato" w:cs="Arial"/>
          <w:bCs/>
          <w:iCs/>
        </w:rPr>
        <w:t xml:space="preserve"> the people of Bangladesh with quality medicines and healthcare products. Its state-of-the art pharmaceutical plant represents Bangladesh's quest for a truly world class manufacturing </w:t>
      </w:r>
      <w:r w:rsidR="00D70B02" w:rsidRPr="00355A1B">
        <w:rPr>
          <w:rFonts w:ascii="Lato" w:hAnsi="Lato" w:cs="Arial"/>
          <w:bCs/>
          <w:iCs/>
        </w:rPr>
        <w:t>f</w:t>
      </w:r>
      <w:r w:rsidR="009644F3" w:rsidRPr="00355A1B">
        <w:rPr>
          <w:rFonts w:ascii="Lato" w:hAnsi="Lato" w:cs="Arial"/>
          <w:bCs/>
          <w:iCs/>
        </w:rPr>
        <w:t>aci</w:t>
      </w:r>
      <w:r w:rsidR="00D70B02" w:rsidRPr="00355A1B">
        <w:rPr>
          <w:rFonts w:ascii="Lato" w:hAnsi="Lato" w:cs="Arial"/>
          <w:bCs/>
          <w:iCs/>
        </w:rPr>
        <w:t>lity</w:t>
      </w:r>
      <w:r w:rsidR="006E0C41" w:rsidRPr="00355A1B">
        <w:rPr>
          <w:rFonts w:ascii="Lato" w:hAnsi="Lato" w:cs="Arial"/>
          <w:bCs/>
          <w:iCs/>
        </w:rPr>
        <w:t xml:space="preserve">. </w:t>
      </w:r>
      <w:r w:rsidRPr="00355A1B">
        <w:rPr>
          <w:rFonts w:ascii="Lato" w:hAnsi="Lato" w:cs="Arial"/>
          <w:bCs/>
          <w:iCs/>
        </w:rPr>
        <w:t>XYZ</w:t>
      </w:r>
      <w:r w:rsidR="006E0C41" w:rsidRPr="00355A1B">
        <w:rPr>
          <w:rFonts w:ascii="Lato" w:hAnsi="Lato" w:cs="Arial"/>
          <w:bCs/>
          <w:iCs/>
        </w:rPr>
        <w:t xml:space="preserve">'s rich heritage leads to innovative and higher </w:t>
      </w:r>
      <w:proofErr w:type="gramStart"/>
      <w:r w:rsidR="006E0C41" w:rsidRPr="00355A1B">
        <w:rPr>
          <w:rFonts w:ascii="Lato" w:hAnsi="Lato" w:cs="Arial"/>
          <w:bCs/>
          <w:iCs/>
        </w:rPr>
        <w:t>value added</w:t>
      </w:r>
      <w:proofErr w:type="gramEnd"/>
      <w:r w:rsidR="006E0C41" w:rsidRPr="00355A1B">
        <w:rPr>
          <w:rFonts w:ascii="Lato" w:hAnsi="Lato" w:cs="Arial"/>
          <w:bCs/>
          <w:iCs/>
        </w:rPr>
        <w:t xml:space="preserve"> formulations.</w:t>
      </w:r>
    </w:p>
    <w:p w14:paraId="5FD5CB7A" w14:textId="77777777" w:rsidR="006E0C41" w:rsidRPr="00355A1B" w:rsidRDefault="006E0C41" w:rsidP="00F04B45">
      <w:pPr>
        <w:widowControl/>
        <w:jc w:val="both"/>
        <w:rPr>
          <w:rFonts w:ascii="Lato" w:hAnsi="Lato" w:cs="Arial"/>
          <w:bCs/>
          <w:iCs/>
        </w:rPr>
      </w:pPr>
    </w:p>
    <w:p w14:paraId="27EBFFC4" w14:textId="77777777" w:rsidR="006E0C41" w:rsidRPr="00355A1B" w:rsidRDefault="006E0C41" w:rsidP="00F04B45">
      <w:pPr>
        <w:widowControl/>
        <w:jc w:val="both"/>
        <w:rPr>
          <w:rFonts w:ascii="Lato" w:hAnsi="Lato" w:cs="Arial"/>
          <w:bCs/>
          <w:iCs/>
        </w:rPr>
      </w:pPr>
      <w:r w:rsidRPr="00355A1B">
        <w:rPr>
          <w:rFonts w:ascii="Lato" w:hAnsi="Lato" w:cs="Arial"/>
          <w:bCs/>
          <w:iCs/>
        </w:rPr>
        <w:t xml:space="preserve">The comprehensive product range of </w:t>
      </w:r>
      <w:r w:rsidR="0088090E" w:rsidRPr="00355A1B">
        <w:rPr>
          <w:rFonts w:ascii="Lato" w:hAnsi="Lato" w:cs="Arial"/>
          <w:bCs/>
          <w:iCs/>
        </w:rPr>
        <w:t>XYZ</w:t>
      </w:r>
      <w:r w:rsidRPr="00355A1B">
        <w:rPr>
          <w:rFonts w:ascii="Lato" w:hAnsi="Lato" w:cs="Arial"/>
          <w:bCs/>
          <w:iCs/>
        </w:rPr>
        <w:t xml:space="preserve"> pharmaceuticals include products from all major therapeutic classes and in various dosage forms like tablet, capsule, dry powder, liquid, cream, gel, ointment, ophthalmic and injectable. It produces world class Modified Release drug and medicine to cater the requirement of pharmaceutical manufacturer of domestic and international market. </w:t>
      </w:r>
    </w:p>
    <w:p w14:paraId="23BFC0C5" w14:textId="77777777" w:rsidR="006E0C41" w:rsidRPr="00355A1B" w:rsidRDefault="006E0C41" w:rsidP="00F04B45">
      <w:pPr>
        <w:widowControl/>
        <w:jc w:val="both"/>
        <w:rPr>
          <w:rFonts w:ascii="Lato" w:hAnsi="Lato" w:cs="Arial"/>
          <w:bCs/>
          <w:iCs/>
        </w:rPr>
      </w:pPr>
    </w:p>
    <w:p w14:paraId="0E5312BF" w14:textId="77777777" w:rsidR="006E0C41" w:rsidRPr="00355A1B" w:rsidRDefault="006E0C41" w:rsidP="00F04B45">
      <w:pPr>
        <w:widowControl/>
        <w:jc w:val="both"/>
        <w:rPr>
          <w:rFonts w:ascii="Lato" w:hAnsi="Lato" w:cs="Arial"/>
          <w:bCs/>
          <w:iCs/>
        </w:rPr>
      </w:pPr>
      <w:r w:rsidRPr="00355A1B">
        <w:rPr>
          <w:rFonts w:ascii="Lato" w:hAnsi="Lato" w:cs="Arial"/>
          <w:bCs/>
          <w:iCs/>
        </w:rPr>
        <w:t xml:space="preserve">It exports high quality pharmaceuticals </w:t>
      </w:r>
      <w:r w:rsidR="00D70B02" w:rsidRPr="00355A1B">
        <w:rPr>
          <w:rFonts w:ascii="Lato" w:hAnsi="Lato" w:cs="Arial"/>
          <w:bCs/>
          <w:iCs/>
        </w:rPr>
        <w:t>to a good number of countries all over the world</w:t>
      </w:r>
      <w:r w:rsidRPr="00355A1B">
        <w:rPr>
          <w:rFonts w:ascii="Lato" w:hAnsi="Lato" w:cs="Arial"/>
          <w:bCs/>
          <w:iCs/>
        </w:rPr>
        <w:t xml:space="preserve">. </w:t>
      </w:r>
    </w:p>
    <w:p w14:paraId="2402E050" w14:textId="77777777" w:rsidR="006E0C41" w:rsidRPr="00355A1B" w:rsidRDefault="006E0C41" w:rsidP="00F04B45">
      <w:pPr>
        <w:widowControl/>
        <w:jc w:val="both"/>
        <w:rPr>
          <w:rFonts w:ascii="Lato" w:hAnsi="Lato" w:cs="Arial"/>
          <w:bCs/>
          <w:iCs/>
        </w:rPr>
      </w:pPr>
    </w:p>
    <w:p w14:paraId="1D641603" w14:textId="77777777" w:rsidR="0085660F" w:rsidRPr="00355A1B" w:rsidRDefault="0085660F" w:rsidP="00F04B45">
      <w:pPr>
        <w:pStyle w:val="Tabletext"/>
        <w:spacing w:before="80" w:after="40"/>
        <w:jc w:val="both"/>
        <w:rPr>
          <w:rFonts w:ascii="Lato" w:hAnsi="Lato" w:cs="Arial"/>
          <w:b/>
          <w:i/>
          <w:sz w:val="20"/>
          <w:u w:val="single"/>
        </w:rPr>
      </w:pPr>
      <w:r w:rsidRPr="00355A1B">
        <w:rPr>
          <w:rFonts w:ascii="Lato" w:hAnsi="Lato" w:cs="Arial"/>
          <w:b/>
          <w:i/>
          <w:sz w:val="20"/>
          <w:u w:val="single"/>
        </w:rPr>
        <w:t>Ownership structure</w:t>
      </w:r>
    </w:p>
    <w:p w14:paraId="23AD265E" w14:textId="77777777" w:rsidR="0085660F" w:rsidRPr="00355A1B" w:rsidRDefault="0085660F" w:rsidP="00F04B45">
      <w:pPr>
        <w:pStyle w:val="Tabletext"/>
        <w:spacing w:before="80" w:after="40"/>
        <w:jc w:val="both"/>
        <w:rPr>
          <w:rFonts w:ascii="Lato" w:hAnsi="Lato" w:cs="Arial"/>
          <w:iCs/>
          <w:sz w:val="20"/>
        </w:rPr>
      </w:pPr>
      <w:r w:rsidRPr="00355A1B">
        <w:rPr>
          <w:rFonts w:ascii="Lato" w:hAnsi="Lato" w:cs="Arial"/>
          <w:iCs/>
          <w:sz w:val="20"/>
        </w:rPr>
        <w:t>The shareholding structure of the company is as follows: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6"/>
        <w:gridCol w:w="2832"/>
        <w:gridCol w:w="2118"/>
      </w:tblGrid>
      <w:tr w:rsidR="0085660F" w:rsidRPr="00355A1B" w14:paraId="00A59100" w14:textId="77777777" w:rsidTr="002C2361">
        <w:trPr>
          <w:trHeight w:val="413"/>
        </w:trPr>
        <w:tc>
          <w:tcPr>
            <w:tcW w:w="3276" w:type="dxa"/>
          </w:tcPr>
          <w:p w14:paraId="208E3D1A" w14:textId="77777777" w:rsidR="0085660F" w:rsidRPr="00355A1B" w:rsidRDefault="0085660F" w:rsidP="00F04B45">
            <w:pPr>
              <w:pStyle w:val="Tabletext"/>
              <w:spacing w:before="80" w:after="40" w:line="240" w:lineRule="auto"/>
              <w:jc w:val="both"/>
              <w:rPr>
                <w:rFonts w:ascii="Lato" w:hAnsi="Lato" w:cs="Arial"/>
                <w:b/>
                <w:bCs/>
                <w:iCs/>
                <w:sz w:val="20"/>
              </w:rPr>
            </w:pPr>
            <w:r w:rsidRPr="00355A1B">
              <w:rPr>
                <w:rFonts w:ascii="Lato" w:hAnsi="Lato" w:cs="Arial"/>
                <w:b/>
                <w:bCs/>
                <w:iCs/>
                <w:sz w:val="20"/>
              </w:rPr>
              <w:t>Name of the shareholder</w:t>
            </w:r>
          </w:p>
        </w:tc>
        <w:tc>
          <w:tcPr>
            <w:tcW w:w="2832" w:type="dxa"/>
          </w:tcPr>
          <w:p w14:paraId="0BCABF4D" w14:textId="77777777" w:rsidR="0085660F" w:rsidRPr="00355A1B" w:rsidRDefault="0085660F" w:rsidP="00F04B45">
            <w:pPr>
              <w:pStyle w:val="Tabletext"/>
              <w:spacing w:before="80" w:after="40" w:line="240" w:lineRule="auto"/>
              <w:jc w:val="both"/>
              <w:rPr>
                <w:rFonts w:ascii="Lato" w:hAnsi="Lato" w:cs="Arial"/>
                <w:b/>
                <w:bCs/>
                <w:iCs/>
                <w:sz w:val="20"/>
              </w:rPr>
            </w:pPr>
            <w:r w:rsidRPr="00355A1B">
              <w:rPr>
                <w:rFonts w:ascii="Lato" w:hAnsi="Lato" w:cs="Arial"/>
                <w:b/>
                <w:bCs/>
                <w:iCs/>
                <w:sz w:val="20"/>
              </w:rPr>
              <w:t xml:space="preserve">No. of ordinary shares held </w:t>
            </w:r>
          </w:p>
        </w:tc>
        <w:tc>
          <w:tcPr>
            <w:tcW w:w="2118" w:type="dxa"/>
          </w:tcPr>
          <w:p w14:paraId="7C19B0EE" w14:textId="77777777" w:rsidR="0085660F" w:rsidRPr="00355A1B" w:rsidRDefault="0085660F" w:rsidP="00F04B45">
            <w:pPr>
              <w:pStyle w:val="Tabletext"/>
              <w:spacing w:before="80" w:after="40" w:line="240" w:lineRule="auto"/>
              <w:jc w:val="both"/>
              <w:rPr>
                <w:rFonts w:ascii="Lato" w:hAnsi="Lato" w:cs="Arial"/>
                <w:b/>
                <w:bCs/>
                <w:iCs/>
                <w:sz w:val="20"/>
              </w:rPr>
            </w:pPr>
            <w:r w:rsidRPr="00355A1B">
              <w:rPr>
                <w:rFonts w:ascii="Lato" w:hAnsi="Lato" w:cs="Arial"/>
                <w:b/>
                <w:bCs/>
                <w:iCs/>
                <w:sz w:val="20"/>
              </w:rPr>
              <w:t>% of shareholding</w:t>
            </w:r>
          </w:p>
        </w:tc>
      </w:tr>
      <w:tr w:rsidR="0085660F" w:rsidRPr="00355A1B" w14:paraId="1445DF82" w14:textId="77777777" w:rsidTr="002C2361">
        <w:trPr>
          <w:trHeight w:val="305"/>
        </w:trPr>
        <w:tc>
          <w:tcPr>
            <w:tcW w:w="3276" w:type="dxa"/>
          </w:tcPr>
          <w:p w14:paraId="6AB86E43" w14:textId="77777777" w:rsidR="0085660F" w:rsidRPr="00355A1B" w:rsidRDefault="0085660F" w:rsidP="00F04B45">
            <w:pPr>
              <w:pStyle w:val="Tabletext"/>
              <w:spacing w:before="80" w:after="40" w:line="240" w:lineRule="auto"/>
              <w:jc w:val="both"/>
              <w:rPr>
                <w:rFonts w:ascii="Lato" w:hAnsi="Lato" w:cs="Arial"/>
                <w:iCs/>
                <w:sz w:val="20"/>
              </w:rPr>
            </w:pPr>
            <w:r w:rsidRPr="00355A1B">
              <w:rPr>
                <w:rFonts w:ascii="Lato" w:hAnsi="Lato" w:cs="Arial"/>
                <w:iCs/>
                <w:sz w:val="20"/>
              </w:rPr>
              <w:t>Directors/Sponsors</w:t>
            </w:r>
          </w:p>
        </w:tc>
        <w:tc>
          <w:tcPr>
            <w:tcW w:w="2832" w:type="dxa"/>
          </w:tcPr>
          <w:p w14:paraId="406AE233" w14:textId="77777777" w:rsidR="0085660F" w:rsidRPr="00355A1B" w:rsidRDefault="00657D1E" w:rsidP="00F04B45">
            <w:pPr>
              <w:jc w:val="both"/>
              <w:rPr>
                <w:rFonts w:ascii="Lato" w:hAnsi="Lato" w:cs="Arial"/>
              </w:rPr>
            </w:pPr>
            <w:r w:rsidRPr="00355A1B">
              <w:rPr>
                <w:rFonts w:ascii="Lato" w:hAnsi="Lato" w:cs="Arial"/>
              </w:rPr>
              <w:t xml:space="preserve">XXXXXX </w:t>
            </w:r>
          </w:p>
        </w:tc>
        <w:tc>
          <w:tcPr>
            <w:tcW w:w="2118" w:type="dxa"/>
          </w:tcPr>
          <w:p w14:paraId="5F748602" w14:textId="77777777" w:rsidR="0085660F" w:rsidRPr="00355A1B" w:rsidRDefault="0085660F" w:rsidP="00F04B45">
            <w:pPr>
              <w:pStyle w:val="Tabletext"/>
              <w:spacing w:before="80" w:after="40" w:line="240" w:lineRule="auto"/>
              <w:jc w:val="both"/>
              <w:rPr>
                <w:rFonts w:ascii="Lato" w:hAnsi="Lato" w:cs="Arial"/>
                <w:iCs/>
                <w:sz w:val="20"/>
              </w:rPr>
            </w:pPr>
            <w:r w:rsidRPr="00355A1B">
              <w:rPr>
                <w:rFonts w:ascii="Lato" w:hAnsi="Lato" w:cs="Arial"/>
                <w:iCs/>
                <w:sz w:val="20"/>
              </w:rPr>
              <w:t>36.81</w:t>
            </w:r>
          </w:p>
        </w:tc>
      </w:tr>
      <w:tr w:rsidR="0085660F" w:rsidRPr="00355A1B" w14:paraId="003803F4" w14:textId="77777777" w:rsidTr="002C2361">
        <w:trPr>
          <w:trHeight w:val="260"/>
        </w:trPr>
        <w:tc>
          <w:tcPr>
            <w:tcW w:w="3276" w:type="dxa"/>
          </w:tcPr>
          <w:p w14:paraId="579C3D77" w14:textId="77777777" w:rsidR="0085660F" w:rsidRPr="00355A1B" w:rsidRDefault="0085660F" w:rsidP="00F04B45">
            <w:pPr>
              <w:pStyle w:val="Tabletext"/>
              <w:spacing w:before="80" w:after="40" w:line="240" w:lineRule="auto"/>
              <w:jc w:val="both"/>
              <w:rPr>
                <w:rFonts w:ascii="Lato" w:hAnsi="Lato" w:cs="Arial"/>
                <w:iCs/>
                <w:sz w:val="20"/>
              </w:rPr>
            </w:pPr>
            <w:r w:rsidRPr="00355A1B">
              <w:rPr>
                <w:rFonts w:ascii="Lato" w:hAnsi="Lato" w:cs="Arial"/>
                <w:iCs/>
                <w:sz w:val="20"/>
              </w:rPr>
              <w:t>Institutions</w:t>
            </w:r>
          </w:p>
        </w:tc>
        <w:tc>
          <w:tcPr>
            <w:tcW w:w="2832" w:type="dxa"/>
          </w:tcPr>
          <w:p w14:paraId="1FEEE3C3" w14:textId="77777777" w:rsidR="0085660F" w:rsidRPr="00355A1B" w:rsidRDefault="0085660F" w:rsidP="00F04B45">
            <w:pPr>
              <w:pStyle w:val="Tabletext"/>
              <w:spacing w:before="80" w:after="40" w:line="240" w:lineRule="auto"/>
              <w:jc w:val="both"/>
              <w:rPr>
                <w:rFonts w:ascii="Lato" w:hAnsi="Lato" w:cs="Arial"/>
                <w:iCs/>
                <w:sz w:val="20"/>
              </w:rPr>
            </w:pPr>
            <w:r w:rsidRPr="00355A1B">
              <w:rPr>
                <w:rFonts w:ascii="Lato" w:hAnsi="Lato" w:cs="Arial"/>
                <w:iCs/>
                <w:sz w:val="20"/>
              </w:rPr>
              <w:t>XXXX</w:t>
            </w:r>
          </w:p>
        </w:tc>
        <w:tc>
          <w:tcPr>
            <w:tcW w:w="2118" w:type="dxa"/>
          </w:tcPr>
          <w:p w14:paraId="2AA4680A" w14:textId="77777777" w:rsidR="0085660F" w:rsidRPr="00355A1B" w:rsidRDefault="0085660F" w:rsidP="00F04B45">
            <w:pPr>
              <w:pStyle w:val="Tabletext"/>
              <w:spacing w:before="80" w:after="40" w:line="240" w:lineRule="auto"/>
              <w:jc w:val="both"/>
              <w:rPr>
                <w:rFonts w:ascii="Lato" w:hAnsi="Lato" w:cs="Arial"/>
                <w:iCs/>
                <w:sz w:val="20"/>
              </w:rPr>
            </w:pPr>
            <w:r w:rsidRPr="00355A1B">
              <w:rPr>
                <w:rFonts w:ascii="Lato" w:hAnsi="Lato" w:cs="Arial"/>
                <w:iCs/>
                <w:sz w:val="20"/>
              </w:rPr>
              <w:t>37.48</w:t>
            </w:r>
          </w:p>
        </w:tc>
      </w:tr>
      <w:tr w:rsidR="0085660F" w:rsidRPr="00355A1B" w14:paraId="75DEA123" w14:textId="77777777" w:rsidTr="008F33B6">
        <w:trPr>
          <w:trHeight w:val="341"/>
        </w:trPr>
        <w:tc>
          <w:tcPr>
            <w:tcW w:w="3276" w:type="dxa"/>
          </w:tcPr>
          <w:p w14:paraId="7FFC6394" w14:textId="77777777" w:rsidR="0085660F" w:rsidRPr="00355A1B" w:rsidRDefault="0085660F" w:rsidP="00F04B45">
            <w:pPr>
              <w:pStyle w:val="Tabletext"/>
              <w:spacing w:before="80" w:after="40" w:line="240" w:lineRule="auto"/>
              <w:jc w:val="both"/>
              <w:rPr>
                <w:rFonts w:ascii="Lato" w:hAnsi="Lato" w:cs="Arial"/>
                <w:iCs/>
                <w:sz w:val="20"/>
              </w:rPr>
            </w:pPr>
            <w:r w:rsidRPr="00355A1B">
              <w:rPr>
                <w:rFonts w:ascii="Lato" w:hAnsi="Lato" w:cs="Arial"/>
                <w:iCs/>
                <w:sz w:val="20"/>
              </w:rPr>
              <w:t>General shareholders</w:t>
            </w:r>
          </w:p>
        </w:tc>
        <w:tc>
          <w:tcPr>
            <w:tcW w:w="2832" w:type="dxa"/>
          </w:tcPr>
          <w:p w14:paraId="108530F6" w14:textId="77777777" w:rsidR="0085660F" w:rsidRPr="00355A1B" w:rsidRDefault="0085660F" w:rsidP="00F04B45">
            <w:pPr>
              <w:pStyle w:val="Tabletext"/>
              <w:spacing w:before="80" w:after="40" w:line="240" w:lineRule="auto"/>
              <w:jc w:val="both"/>
              <w:rPr>
                <w:rFonts w:ascii="Lato" w:hAnsi="Lato" w:cs="Arial"/>
                <w:iCs/>
                <w:sz w:val="20"/>
              </w:rPr>
            </w:pPr>
            <w:r w:rsidRPr="00355A1B">
              <w:rPr>
                <w:rFonts w:ascii="Lato" w:hAnsi="Lato" w:cs="Arial"/>
                <w:iCs/>
                <w:sz w:val="20"/>
              </w:rPr>
              <w:t>XXXXX</w:t>
            </w:r>
          </w:p>
        </w:tc>
        <w:tc>
          <w:tcPr>
            <w:tcW w:w="2118" w:type="dxa"/>
          </w:tcPr>
          <w:p w14:paraId="60B40988" w14:textId="77777777" w:rsidR="0085660F" w:rsidRPr="00355A1B" w:rsidRDefault="002C2361" w:rsidP="00F04B45">
            <w:pPr>
              <w:pStyle w:val="Tabletext"/>
              <w:spacing w:before="80" w:after="40" w:line="240" w:lineRule="auto"/>
              <w:jc w:val="both"/>
              <w:rPr>
                <w:rFonts w:ascii="Lato" w:hAnsi="Lato" w:cs="Arial"/>
                <w:iCs/>
                <w:sz w:val="20"/>
              </w:rPr>
            </w:pPr>
            <w:r w:rsidRPr="00355A1B">
              <w:rPr>
                <w:rFonts w:ascii="Lato" w:hAnsi="Lato" w:cs="Arial"/>
                <w:iCs/>
                <w:sz w:val="20"/>
              </w:rPr>
              <w:t>25.71</w:t>
            </w:r>
          </w:p>
        </w:tc>
      </w:tr>
      <w:tr w:rsidR="0085660F" w:rsidRPr="00355A1B" w14:paraId="3C0EF7E2" w14:textId="77777777" w:rsidTr="002C2361">
        <w:trPr>
          <w:trHeight w:val="197"/>
        </w:trPr>
        <w:tc>
          <w:tcPr>
            <w:tcW w:w="3276" w:type="dxa"/>
          </w:tcPr>
          <w:p w14:paraId="78D8A9C8" w14:textId="77777777" w:rsidR="0085660F" w:rsidRPr="00355A1B" w:rsidRDefault="0085660F" w:rsidP="00F04B45">
            <w:pPr>
              <w:pStyle w:val="Tabletext"/>
              <w:spacing w:before="80" w:after="40" w:line="240" w:lineRule="auto"/>
              <w:jc w:val="both"/>
              <w:rPr>
                <w:rFonts w:ascii="Lato" w:hAnsi="Lato" w:cs="Arial"/>
                <w:b/>
                <w:bCs/>
                <w:iCs/>
                <w:sz w:val="20"/>
              </w:rPr>
            </w:pPr>
            <w:r w:rsidRPr="00355A1B">
              <w:rPr>
                <w:rFonts w:ascii="Lato" w:hAnsi="Lato" w:cs="Arial"/>
                <w:b/>
                <w:bCs/>
                <w:iCs/>
                <w:sz w:val="20"/>
              </w:rPr>
              <w:t>Total</w:t>
            </w:r>
          </w:p>
        </w:tc>
        <w:tc>
          <w:tcPr>
            <w:tcW w:w="2832" w:type="dxa"/>
          </w:tcPr>
          <w:p w14:paraId="2AF6576B" w14:textId="77777777" w:rsidR="0085660F" w:rsidRPr="00355A1B" w:rsidRDefault="0085660F" w:rsidP="00F04B45">
            <w:pPr>
              <w:pStyle w:val="Tabletext"/>
              <w:spacing w:before="80" w:after="40" w:line="240" w:lineRule="auto"/>
              <w:jc w:val="both"/>
              <w:rPr>
                <w:rFonts w:ascii="Lato" w:hAnsi="Lato" w:cs="Arial"/>
                <w:b/>
                <w:bCs/>
                <w:iCs/>
                <w:sz w:val="20"/>
              </w:rPr>
            </w:pPr>
            <w:r w:rsidRPr="00355A1B">
              <w:rPr>
                <w:rFonts w:ascii="Lato" w:hAnsi="Lato" w:cs="Arial"/>
                <w:b/>
                <w:bCs/>
                <w:iCs/>
                <w:sz w:val="20"/>
              </w:rPr>
              <w:t>XXXXX</w:t>
            </w:r>
          </w:p>
        </w:tc>
        <w:tc>
          <w:tcPr>
            <w:tcW w:w="2118" w:type="dxa"/>
          </w:tcPr>
          <w:p w14:paraId="47845DCA" w14:textId="77777777" w:rsidR="0085660F" w:rsidRPr="00355A1B" w:rsidRDefault="0085660F" w:rsidP="00F04B45">
            <w:pPr>
              <w:pStyle w:val="Tabletext"/>
              <w:spacing w:before="80" w:after="40" w:line="240" w:lineRule="auto"/>
              <w:jc w:val="both"/>
              <w:rPr>
                <w:rFonts w:ascii="Lato" w:hAnsi="Lato" w:cs="Arial"/>
                <w:b/>
                <w:bCs/>
                <w:iCs/>
                <w:sz w:val="20"/>
              </w:rPr>
            </w:pPr>
            <w:r w:rsidRPr="00355A1B">
              <w:rPr>
                <w:rFonts w:ascii="Lato" w:hAnsi="Lato" w:cs="Arial"/>
                <w:b/>
                <w:bCs/>
                <w:iCs/>
                <w:sz w:val="20"/>
              </w:rPr>
              <w:t>100</w:t>
            </w:r>
          </w:p>
        </w:tc>
      </w:tr>
    </w:tbl>
    <w:p w14:paraId="2548695A" w14:textId="77777777" w:rsidR="0085660F" w:rsidRPr="00355A1B" w:rsidRDefault="0085660F" w:rsidP="00F04B45">
      <w:pPr>
        <w:pStyle w:val="Tabletext"/>
        <w:spacing w:before="80" w:after="40"/>
        <w:jc w:val="both"/>
        <w:rPr>
          <w:rFonts w:ascii="Lato" w:hAnsi="Lato" w:cs="Arial"/>
          <w:iCs/>
          <w:sz w:val="20"/>
        </w:rPr>
      </w:pPr>
      <w:r w:rsidRPr="00355A1B">
        <w:rPr>
          <w:rFonts w:ascii="Lato" w:hAnsi="Lato" w:cs="Arial"/>
          <w:iCs/>
          <w:sz w:val="20"/>
        </w:rPr>
        <w:lastRenderedPageBreak/>
        <w:t xml:space="preserve">During the year under audit there has been no change in the legal structure or ownership of the company. </w:t>
      </w:r>
    </w:p>
    <w:p w14:paraId="6C2CC717" w14:textId="77777777" w:rsidR="00BB5521" w:rsidRPr="00355A1B" w:rsidRDefault="00BB5521" w:rsidP="00F04B45">
      <w:pPr>
        <w:pStyle w:val="Tabletext"/>
        <w:spacing w:before="80" w:after="40"/>
        <w:jc w:val="both"/>
        <w:rPr>
          <w:rFonts w:ascii="Lato" w:hAnsi="Lato" w:cs="Arial"/>
          <w:b/>
          <w:bCs/>
          <w:i/>
          <w:sz w:val="20"/>
          <w:u w:val="single"/>
        </w:rPr>
      </w:pPr>
      <w:r w:rsidRPr="00355A1B">
        <w:rPr>
          <w:rFonts w:ascii="Lato" w:hAnsi="Lato" w:cs="Arial"/>
          <w:b/>
          <w:bCs/>
          <w:i/>
          <w:sz w:val="20"/>
          <w:u w:val="single"/>
        </w:rPr>
        <w:t>Corporate Governance</w:t>
      </w:r>
    </w:p>
    <w:p w14:paraId="0CDEA85B" w14:textId="77777777" w:rsidR="009C0EFC" w:rsidRPr="00355A1B" w:rsidRDefault="00E377DE" w:rsidP="00F04B45">
      <w:pPr>
        <w:pStyle w:val="Tabletext"/>
        <w:spacing w:before="80" w:after="40"/>
        <w:jc w:val="both"/>
        <w:rPr>
          <w:rFonts w:ascii="Lato" w:hAnsi="Lato" w:cs="Arial"/>
          <w:b/>
          <w:sz w:val="20"/>
        </w:rPr>
      </w:pPr>
      <w:r w:rsidRPr="00355A1B">
        <w:rPr>
          <w:rFonts w:ascii="Lato" w:hAnsi="Lato" w:cs="Arial"/>
          <w:sz w:val="20"/>
        </w:rPr>
        <w:t xml:space="preserve">XYZ </w:t>
      </w:r>
      <w:r w:rsidR="00BB5521" w:rsidRPr="00355A1B">
        <w:rPr>
          <w:rFonts w:ascii="Lato" w:hAnsi="Lato" w:cs="Arial"/>
          <w:sz w:val="20"/>
        </w:rPr>
        <w:t xml:space="preserve">Board of Directors is committed to meeting the highest standard of corporate governance and disclosure. The Directors are conscious of their responsibilities in supervision and direction of the affairs of the company in conformity with the practices of sound corporate governance. </w:t>
      </w:r>
      <w:r w:rsidR="00BB5521" w:rsidRPr="00355A1B">
        <w:rPr>
          <w:rFonts w:ascii="Lato" w:hAnsi="Lato" w:cs="Arial"/>
          <w:b/>
          <w:sz w:val="20"/>
        </w:rPr>
        <w:t>In fulfillment of those responsibilities the Directors have set for themselves the principles that will be followed in their own involvement in the oversight functions and in setting up clear guidelines for the executive management.</w:t>
      </w:r>
    </w:p>
    <w:p w14:paraId="54ED6D38" w14:textId="77777777" w:rsidR="009C0EFC" w:rsidRPr="00355A1B" w:rsidRDefault="009C0EFC" w:rsidP="00F04B45">
      <w:pPr>
        <w:pStyle w:val="Tabletext"/>
        <w:spacing w:before="80" w:after="40"/>
        <w:jc w:val="both"/>
        <w:rPr>
          <w:rFonts w:ascii="Lato" w:hAnsi="Lato" w:cs="Arial"/>
          <w:b/>
          <w:i/>
          <w:iCs/>
          <w:sz w:val="20"/>
          <w:u w:val="single"/>
        </w:rPr>
      </w:pPr>
      <w:r w:rsidRPr="00355A1B">
        <w:rPr>
          <w:rFonts w:ascii="Lato" w:hAnsi="Lato" w:cs="Arial"/>
          <w:b/>
          <w:i/>
          <w:iCs/>
          <w:sz w:val="20"/>
          <w:u w:val="single"/>
        </w:rPr>
        <w:t>Composition of the Board</w:t>
      </w:r>
    </w:p>
    <w:p w14:paraId="3383E618" w14:textId="77777777" w:rsidR="009C0EFC" w:rsidRPr="00355A1B" w:rsidRDefault="009C0EFC" w:rsidP="00F04B45">
      <w:pPr>
        <w:pStyle w:val="Tabletext"/>
        <w:spacing w:before="80" w:after="40"/>
        <w:jc w:val="both"/>
        <w:rPr>
          <w:rFonts w:ascii="Lato" w:hAnsi="Lato" w:cs="Arial"/>
          <w:sz w:val="20"/>
        </w:rPr>
      </w:pPr>
      <w:r w:rsidRPr="00355A1B">
        <w:rPr>
          <w:rFonts w:ascii="Lato" w:hAnsi="Lato" w:cs="Arial"/>
          <w:sz w:val="20"/>
        </w:rPr>
        <w:t>The Board presently consists of 10 members drawn from amongst the major shareowners, business professionals and bankers. Mr M  occupies the position of the Chairman of the Board and Mr. A</w:t>
      </w:r>
      <w:r w:rsidR="003B3389" w:rsidRPr="00355A1B">
        <w:rPr>
          <w:rFonts w:ascii="Lato" w:hAnsi="Lato" w:cs="Arial"/>
          <w:sz w:val="20"/>
        </w:rPr>
        <w:t xml:space="preserve"> </w:t>
      </w:r>
      <w:r w:rsidRPr="00355A1B">
        <w:rPr>
          <w:rFonts w:ascii="Lato" w:hAnsi="Lato" w:cs="Arial"/>
          <w:sz w:val="20"/>
        </w:rPr>
        <w:t xml:space="preserve"> occupies the position of Managing Director of the company.</w:t>
      </w:r>
    </w:p>
    <w:p w14:paraId="661EFE02" w14:textId="77777777" w:rsidR="009C0EFC" w:rsidRPr="00355A1B" w:rsidRDefault="009C0EFC" w:rsidP="00F04B45">
      <w:pPr>
        <w:pStyle w:val="Tabletext"/>
        <w:spacing w:before="80" w:after="40"/>
        <w:jc w:val="both"/>
        <w:rPr>
          <w:rFonts w:ascii="Lato" w:hAnsi="Lato" w:cs="Arial"/>
          <w:b/>
          <w:i/>
          <w:iCs/>
          <w:sz w:val="20"/>
          <w:u w:val="single"/>
        </w:rPr>
      </w:pPr>
      <w:r w:rsidRPr="00355A1B">
        <w:rPr>
          <w:rFonts w:ascii="Lato" w:hAnsi="Lato" w:cs="Arial"/>
          <w:b/>
          <w:i/>
          <w:iCs/>
          <w:sz w:val="20"/>
          <w:u w:val="single"/>
        </w:rPr>
        <w:t>Role of the Board</w:t>
      </w:r>
    </w:p>
    <w:p w14:paraId="4E038405" w14:textId="77777777" w:rsidR="009C0EFC" w:rsidRPr="00355A1B" w:rsidRDefault="009C0EFC" w:rsidP="00F04B45">
      <w:pPr>
        <w:pStyle w:val="Tabletext"/>
        <w:spacing w:before="80" w:after="40"/>
        <w:jc w:val="both"/>
        <w:rPr>
          <w:rFonts w:ascii="Lato" w:hAnsi="Lato" w:cs="Arial"/>
          <w:sz w:val="20"/>
        </w:rPr>
      </w:pPr>
      <w:r w:rsidRPr="00355A1B">
        <w:rPr>
          <w:rFonts w:ascii="Lato" w:hAnsi="Lato" w:cs="Arial"/>
          <w:sz w:val="20"/>
        </w:rPr>
        <w:t>The Board is the highest level of authority of the Company to oversee its operation through appropriate delegation and control.</w:t>
      </w:r>
    </w:p>
    <w:p w14:paraId="77EC7FDE" w14:textId="77777777" w:rsidR="00F732B6" w:rsidRPr="00355A1B" w:rsidRDefault="00F732B6" w:rsidP="00F04B45">
      <w:pPr>
        <w:pStyle w:val="Tabletext"/>
        <w:spacing w:before="80" w:after="40"/>
        <w:jc w:val="both"/>
        <w:rPr>
          <w:rFonts w:ascii="Lato" w:hAnsi="Lato" w:cs="Arial"/>
          <w:b/>
          <w:i/>
          <w:iCs/>
          <w:sz w:val="20"/>
          <w:u w:val="single"/>
        </w:rPr>
      </w:pPr>
    </w:p>
    <w:p w14:paraId="46F24F80" w14:textId="77777777" w:rsidR="009C0EFC" w:rsidRPr="00355A1B" w:rsidRDefault="009C0EFC" w:rsidP="00F04B45">
      <w:pPr>
        <w:pStyle w:val="Tabletext"/>
        <w:spacing w:before="80" w:after="40"/>
        <w:jc w:val="both"/>
        <w:rPr>
          <w:rFonts w:ascii="Lato" w:hAnsi="Lato" w:cs="Arial"/>
          <w:b/>
          <w:i/>
          <w:iCs/>
          <w:sz w:val="20"/>
          <w:u w:val="single"/>
        </w:rPr>
      </w:pPr>
      <w:r w:rsidRPr="00355A1B">
        <w:rPr>
          <w:rFonts w:ascii="Lato" w:hAnsi="Lato" w:cs="Arial"/>
          <w:b/>
          <w:i/>
          <w:iCs/>
          <w:sz w:val="20"/>
          <w:u w:val="single"/>
        </w:rPr>
        <w:t>Responsibility of the Board</w:t>
      </w:r>
    </w:p>
    <w:p w14:paraId="58E0B20C" w14:textId="77777777" w:rsidR="009C0EFC" w:rsidRPr="00355A1B" w:rsidRDefault="009C0EFC" w:rsidP="00F04B45">
      <w:pPr>
        <w:pStyle w:val="Tabletext"/>
        <w:spacing w:before="80" w:after="40"/>
        <w:jc w:val="both"/>
        <w:rPr>
          <w:rFonts w:ascii="Lato" w:hAnsi="Lato" w:cs="Arial"/>
          <w:sz w:val="20"/>
        </w:rPr>
      </w:pPr>
      <w:r w:rsidRPr="00355A1B">
        <w:rPr>
          <w:rFonts w:ascii="Lato" w:hAnsi="Lato" w:cs="Arial"/>
          <w:sz w:val="20"/>
        </w:rPr>
        <w:t>The Directors hold the ultimate responsibility of conducting the activities on behalf of the Company in accordance with the law and in the interest of its shareowners and other stakeholders, keeping in view the long-term interest of the Company.</w:t>
      </w:r>
    </w:p>
    <w:p w14:paraId="3F1B5A50" w14:textId="77777777" w:rsidR="009C0EFC" w:rsidRPr="00355A1B" w:rsidRDefault="009C0EFC" w:rsidP="00F04B45">
      <w:pPr>
        <w:pStyle w:val="Tabletext"/>
        <w:spacing w:before="80" w:after="40"/>
        <w:jc w:val="both"/>
        <w:rPr>
          <w:rFonts w:ascii="Lato" w:hAnsi="Lato" w:cs="Arial"/>
          <w:b/>
          <w:i/>
          <w:iCs/>
          <w:sz w:val="20"/>
          <w:u w:val="single"/>
        </w:rPr>
      </w:pPr>
      <w:r w:rsidRPr="00355A1B">
        <w:rPr>
          <w:rFonts w:ascii="Lato" w:hAnsi="Lato" w:cs="Arial"/>
          <w:b/>
          <w:i/>
          <w:iCs/>
          <w:sz w:val="20"/>
          <w:u w:val="single"/>
        </w:rPr>
        <w:t>Functioning of the Board</w:t>
      </w:r>
    </w:p>
    <w:p w14:paraId="176494BE" w14:textId="77777777" w:rsidR="009C0EFC" w:rsidRPr="00355A1B" w:rsidRDefault="009C0EFC" w:rsidP="00F04B45">
      <w:pPr>
        <w:pStyle w:val="Tabletext"/>
        <w:spacing w:before="80" w:after="40"/>
        <w:jc w:val="both"/>
        <w:rPr>
          <w:rFonts w:ascii="Lato" w:hAnsi="Lato" w:cs="Arial"/>
          <w:sz w:val="20"/>
        </w:rPr>
      </w:pPr>
      <w:r w:rsidRPr="00355A1B">
        <w:rPr>
          <w:rFonts w:ascii="Lato" w:hAnsi="Lato" w:cs="Arial"/>
          <w:sz w:val="20"/>
        </w:rPr>
        <w:t>The Board is required under the law to meet at least once in three months. The number of Board m</w:t>
      </w:r>
      <w:r w:rsidR="003B3389" w:rsidRPr="00355A1B">
        <w:rPr>
          <w:rFonts w:ascii="Lato" w:hAnsi="Lato" w:cs="Arial"/>
          <w:sz w:val="20"/>
        </w:rPr>
        <w:t>eetings held in 2014</w:t>
      </w:r>
      <w:r w:rsidRPr="00355A1B">
        <w:rPr>
          <w:rFonts w:ascii="Lato" w:hAnsi="Lato" w:cs="Arial"/>
          <w:sz w:val="20"/>
        </w:rPr>
        <w:t xml:space="preserve"> was six. The Directors are kept informed of the results and the major activities through monthly reporting by the Managing Director. The Board agenda includes financial results, consideration of major investments, new business initiatives, borrowings, liquidity etc. </w:t>
      </w:r>
    </w:p>
    <w:p w14:paraId="08AB0329" w14:textId="77777777" w:rsidR="009C0EFC" w:rsidRPr="00355A1B" w:rsidRDefault="009C0EFC" w:rsidP="00F04B45">
      <w:pPr>
        <w:pStyle w:val="Tabletext"/>
        <w:spacing w:before="80" w:after="40"/>
        <w:jc w:val="both"/>
        <w:rPr>
          <w:rFonts w:ascii="Lato" w:hAnsi="Lato" w:cs="Arial"/>
          <w:b/>
          <w:i/>
          <w:iCs/>
          <w:sz w:val="20"/>
          <w:u w:val="single"/>
        </w:rPr>
      </w:pPr>
      <w:r w:rsidRPr="00355A1B">
        <w:rPr>
          <w:rFonts w:ascii="Lato" w:hAnsi="Lato" w:cs="Arial"/>
          <w:b/>
          <w:i/>
          <w:iCs/>
          <w:sz w:val="20"/>
          <w:u w:val="single"/>
        </w:rPr>
        <w:t>Management committee</w:t>
      </w:r>
    </w:p>
    <w:p w14:paraId="23A4EFF9" w14:textId="77777777" w:rsidR="009C0EFC" w:rsidRPr="00355A1B" w:rsidRDefault="009C0EFC" w:rsidP="00F04B45">
      <w:pPr>
        <w:pStyle w:val="Tabletext"/>
        <w:spacing w:before="80" w:after="40"/>
        <w:jc w:val="both"/>
        <w:rPr>
          <w:rFonts w:ascii="Lato" w:hAnsi="Lato" w:cs="Arial"/>
          <w:sz w:val="20"/>
          <w:highlight w:val="magenta"/>
        </w:rPr>
      </w:pPr>
      <w:r w:rsidRPr="00355A1B">
        <w:rPr>
          <w:rFonts w:ascii="Lato" w:hAnsi="Lato" w:cs="Arial"/>
          <w:sz w:val="20"/>
        </w:rPr>
        <w:t>The Board has delegated adequate operational and financial authority to the Managing Director to manage the operations of the company. The Managing Director conducts the affairs of the company through further delegation down the line and in consultation with a management committee. Senior Managers of the company with responsibilities for the business, operations and functional services are members of the management committee, which meets fortnightly to discuss the business results, to review the current business condition and discuss policy matters. Consensus building as a management style is encouraged in the deliberations of the management committee meetings. The Managing Director is responsible for implementing the Board’s decision and the uses the management committee as a consultative boldly to assist and advise him on issues under consideration.  The management committee advises the Managing Director on new products, major items of capital expenditure and overall supervision of the affairs of the Company.</w:t>
      </w:r>
    </w:p>
    <w:p w14:paraId="0996E027" w14:textId="77777777" w:rsidR="009C0EFC" w:rsidRPr="00355A1B" w:rsidRDefault="009C0EFC" w:rsidP="00F04B45">
      <w:pPr>
        <w:pStyle w:val="Tabletext"/>
        <w:spacing w:before="80" w:after="40"/>
        <w:jc w:val="both"/>
        <w:rPr>
          <w:rFonts w:ascii="Lato" w:hAnsi="Lato" w:cs="Arial"/>
          <w:b/>
          <w:i/>
          <w:iCs/>
          <w:sz w:val="20"/>
          <w:u w:val="single"/>
        </w:rPr>
      </w:pPr>
      <w:r w:rsidRPr="00355A1B">
        <w:rPr>
          <w:rFonts w:ascii="Lato" w:hAnsi="Lato" w:cs="Arial"/>
          <w:b/>
          <w:i/>
          <w:iCs/>
          <w:sz w:val="20"/>
          <w:u w:val="single"/>
        </w:rPr>
        <w:t>Empowerment of people</w:t>
      </w:r>
    </w:p>
    <w:p w14:paraId="7C21F096" w14:textId="77777777" w:rsidR="009C0EFC" w:rsidRPr="00355A1B" w:rsidRDefault="009C0EFC" w:rsidP="00F04B45">
      <w:pPr>
        <w:pStyle w:val="Tabletext"/>
        <w:spacing w:before="80" w:after="40"/>
        <w:jc w:val="both"/>
        <w:rPr>
          <w:rFonts w:ascii="Lato" w:hAnsi="Lato" w:cs="Arial"/>
          <w:sz w:val="20"/>
        </w:rPr>
      </w:pPr>
      <w:r w:rsidRPr="00355A1B">
        <w:rPr>
          <w:rFonts w:ascii="Lato" w:hAnsi="Lato" w:cs="Arial"/>
          <w:sz w:val="20"/>
        </w:rPr>
        <w:t>The Board has given a clear guideline to the Managing Director to ensure that there is appropriate delegation of authority and clear statement of accountability of the management staff all the way down to the Supervisory level and that performance of the individuals is judged on the basis of clearly set measurable goals and through objective assessment of their achievement.</w:t>
      </w:r>
    </w:p>
    <w:p w14:paraId="3D17A214" w14:textId="77777777" w:rsidR="009C0EFC" w:rsidRPr="00355A1B" w:rsidRDefault="009C0EFC" w:rsidP="00F04B45">
      <w:pPr>
        <w:pStyle w:val="Tabletext"/>
        <w:spacing w:before="80" w:after="40"/>
        <w:jc w:val="both"/>
        <w:rPr>
          <w:rFonts w:ascii="Lato" w:hAnsi="Lato" w:cs="Arial"/>
          <w:b/>
          <w:i/>
          <w:iCs/>
          <w:sz w:val="20"/>
          <w:u w:val="single"/>
        </w:rPr>
      </w:pPr>
      <w:r w:rsidRPr="00355A1B">
        <w:rPr>
          <w:rFonts w:ascii="Lato" w:hAnsi="Lato" w:cs="Arial"/>
          <w:b/>
          <w:i/>
          <w:iCs/>
          <w:sz w:val="20"/>
          <w:u w:val="single"/>
        </w:rPr>
        <w:t>Internal control</w:t>
      </w:r>
    </w:p>
    <w:p w14:paraId="4EB1AF35" w14:textId="77777777" w:rsidR="009C0EFC" w:rsidRPr="00355A1B" w:rsidRDefault="009C0EFC" w:rsidP="00F04B45">
      <w:pPr>
        <w:pStyle w:val="Tabletext"/>
        <w:spacing w:before="80" w:after="40"/>
        <w:jc w:val="both"/>
        <w:rPr>
          <w:rFonts w:ascii="Lato" w:hAnsi="Lato" w:cs="Arial"/>
          <w:sz w:val="20"/>
          <w:highlight w:val="magenta"/>
        </w:rPr>
      </w:pPr>
      <w:r w:rsidRPr="00355A1B">
        <w:rPr>
          <w:rFonts w:ascii="Lato" w:hAnsi="Lato" w:cs="Arial"/>
          <w:sz w:val="20"/>
        </w:rPr>
        <w:t xml:space="preserve">The Managing Director has to satisfy the Board those adequate internal checks and controls are in place through appropriate MIS and employment of Internal Audit team to check and validate the expenses and </w:t>
      </w:r>
      <w:r w:rsidRPr="00355A1B">
        <w:rPr>
          <w:rFonts w:ascii="Lato" w:hAnsi="Lato" w:cs="Arial"/>
          <w:sz w:val="20"/>
        </w:rPr>
        <w:lastRenderedPageBreak/>
        <w:t xml:space="preserve">the systems in operation. To further strengthen the controls, the Company has introduced ISO </w:t>
      </w:r>
      <w:r w:rsidR="003B3389" w:rsidRPr="00355A1B">
        <w:rPr>
          <w:rFonts w:ascii="Lato" w:hAnsi="Lato" w:cs="Arial"/>
          <w:sz w:val="20"/>
        </w:rPr>
        <w:t>XXXXX</w:t>
      </w:r>
      <w:r w:rsidRPr="00355A1B">
        <w:rPr>
          <w:rFonts w:ascii="Lato" w:hAnsi="Lato" w:cs="Arial"/>
          <w:sz w:val="20"/>
        </w:rPr>
        <w:t xml:space="preserve"> Quality Management System under which all activities are carried out on basis of Standard Operating Procedures. This standard has now been updated to its </w:t>
      </w:r>
      <w:r w:rsidR="003B3389" w:rsidRPr="00355A1B">
        <w:rPr>
          <w:rFonts w:ascii="Lato" w:hAnsi="Lato" w:cs="Arial"/>
          <w:sz w:val="20"/>
        </w:rPr>
        <w:t>XXXXX</w:t>
      </w:r>
      <w:r w:rsidRPr="00355A1B">
        <w:rPr>
          <w:rFonts w:ascii="Lato" w:hAnsi="Lato" w:cs="Arial"/>
          <w:sz w:val="20"/>
        </w:rPr>
        <w:t xml:space="preserve"> version. The company also has introduced ISO </w:t>
      </w:r>
      <w:r w:rsidR="003B3389" w:rsidRPr="00355A1B">
        <w:rPr>
          <w:rFonts w:ascii="Lato" w:hAnsi="Lato" w:cs="Arial"/>
          <w:sz w:val="20"/>
        </w:rPr>
        <w:t>XXXXX</w:t>
      </w:r>
      <w:r w:rsidRPr="00355A1B">
        <w:rPr>
          <w:rFonts w:ascii="Lato" w:hAnsi="Lato" w:cs="Arial"/>
          <w:sz w:val="20"/>
        </w:rPr>
        <w:t xml:space="preserve"> Environment Management System; the first Company in Bangladesh to do so and as a result has undertaken a task of continuing improvement through annual goals. In addition the Company has adopted the principles of Global Compact, an initiative taken by the Secretary General of the United Nations and adopted by world-wide by large and progressive companies.</w:t>
      </w:r>
    </w:p>
    <w:p w14:paraId="119B6B35" w14:textId="77777777" w:rsidR="009C0EFC" w:rsidRPr="00355A1B" w:rsidRDefault="009C0EFC" w:rsidP="00F04B45">
      <w:pPr>
        <w:pStyle w:val="Tabletext"/>
        <w:spacing w:before="80" w:after="40"/>
        <w:jc w:val="both"/>
        <w:rPr>
          <w:rFonts w:ascii="Lato" w:hAnsi="Lato" w:cs="Arial"/>
          <w:b/>
          <w:i/>
          <w:iCs/>
          <w:sz w:val="20"/>
          <w:u w:val="single"/>
        </w:rPr>
      </w:pPr>
      <w:r w:rsidRPr="00355A1B">
        <w:rPr>
          <w:rFonts w:ascii="Lato" w:hAnsi="Lato" w:cs="Arial"/>
          <w:b/>
          <w:i/>
          <w:iCs/>
          <w:sz w:val="20"/>
          <w:u w:val="single"/>
        </w:rPr>
        <w:t>Reporting and Communication</w:t>
      </w:r>
    </w:p>
    <w:p w14:paraId="126C99C3" w14:textId="77777777" w:rsidR="009C0EFC" w:rsidRPr="00355A1B" w:rsidRDefault="009C0EFC" w:rsidP="00F04B45">
      <w:pPr>
        <w:pStyle w:val="Tabletext"/>
        <w:spacing w:before="80" w:after="40"/>
        <w:jc w:val="both"/>
        <w:rPr>
          <w:rFonts w:ascii="Lato" w:hAnsi="Lato" w:cs="Arial"/>
          <w:sz w:val="20"/>
          <w:highlight w:val="magenta"/>
        </w:rPr>
      </w:pPr>
      <w:r w:rsidRPr="00355A1B">
        <w:rPr>
          <w:rFonts w:ascii="Lato" w:hAnsi="Lato" w:cs="Arial"/>
          <w:sz w:val="20"/>
        </w:rPr>
        <w:t xml:space="preserve">The Managing Director reviews and approves the strategic plans of each Business unit once a year. He also reviews monthly report and commentary on the sales and financial performance of the business from the head of businesses and the activities of the functional heads. </w:t>
      </w:r>
    </w:p>
    <w:p w14:paraId="6B538895" w14:textId="77777777" w:rsidR="009C0EFC" w:rsidRPr="00355A1B" w:rsidRDefault="009C0EFC" w:rsidP="00F04B45">
      <w:pPr>
        <w:pStyle w:val="Tabletext"/>
        <w:spacing w:before="80" w:after="40"/>
        <w:jc w:val="both"/>
        <w:rPr>
          <w:rFonts w:ascii="Lato" w:hAnsi="Lato" w:cs="Arial"/>
          <w:b/>
          <w:i/>
          <w:iCs/>
          <w:sz w:val="20"/>
          <w:u w:val="single"/>
        </w:rPr>
      </w:pPr>
      <w:r w:rsidRPr="00355A1B">
        <w:rPr>
          <w:rFonts w:ascii="Lato" w:hAnsi="Lato" w:cs="Arial"/>
          <w:b/>
          <w:i/>
          <w:iCs/>
          <w:sz w:val="20"/>
          <w:u w:val="single"/>
        </w:rPr>
        <w:t>Communication with Shareowners</w:t>
      </w:r>
    </w:p>
    <w:p w14:paraId="7EABA58D" w14:textId="77777777" w:rsidR="009C0EFC" w:rsidRPr="00355A1B" w:rsidRDefault="009C0EFC" w:rsidP="00F04B45">
      <w:pPr>
        <w:pStyle w:val="Tabletext"/>
        <w:spacing w:before="80" w:after="40"/>
        <w:jc w:val="both"/>
        <w:rPr>
          <w:rFonts w:ascii="Lato" w:hAnsi="Lato" w:cs="Arial"/>
          <w:sz w:val="20"/>
        </w:rPr>
      </w:pPr>
      <w:r w:rsidRPr="00355A1B">
        <w:rPr>
          <w:rFonts w:ascii="Lato" w:hAnsi="Lato" w:cs="Arial"/>
          <w:sz w:val="20"/>
        </w:rPr>
        <w:t>The Company holds the Annual General Meeting regularly in time. The Directors attending the Annual General Meeting take careful note of the views and suggestions of the shareowners and institutional stakeholders offered at the AGM and consider them with utmost seriousness. The Managing Director also brings to the notice of the Board any written communication received by him from the shareowners.</w:t>
      </w:r>
    </w:p>
    <w:p w14:paraId="19FB01F2" w14:textId="77777777" w:rsidR="009C0EFC" w:rsidRPr="00355A1B" w:rsidRDefault="009C0EFC" w:rsidP="00F04B45">
      <w:pPr>
        <w:pStyle w:val="Tabletext"/>
        <w:spacing w:before="80" w:after="40"/>
        <w:jc w:val="both"/>
        <w:rPr>
          <w:rFonts w:ascii="Lato" w:hAnsi="Lato" w:cs="Arial"/>
          <w:sz w:val="20"/>
        </w:rPr>
      </w:pPr>
      <w:r w:rsidRPr="00355A1B">
        <w:rPr>
          <w:rFonts w:ascii="Lato" w:hAnsi="Lato" w:cs="Arial"/>
          <w:sz w:val="20"/>
        </w:rPr>
        <w:t>The Board of Directors consists of 10 members. There has been no change in governance structure in the year.</w:t>
      </w:r>
      <w:r w:rsidRPr="00355A1B">
        <w:rPr>
          <w:rFonts w:ascii="Lato" w:hAnsi="Lato" w:cs="Arial"/>
          <w:sz w:val="20"/>
          <w:highlight w:val="magenta"/>
        </w:rPr>
        <w:t xml:space="preserve">    </w:t>
      </w:r>
    </w:p>
    <w:p w14:paraId="4D864DCC" w14:textId="77777777" w:rsidR="00F732B6" w:rsidRPr="00355A1B" w:rsidRDefault="00F732B6" w:rsidP="00F04B45">
      <w:pPr>
        <w:pStyle w:val="TableText0"/>
        <w:spacing w:before="240" w:after="120"/>
        <w:jc w:val="both"/>
        <w:rPr>
          <w:rFonts w:ascii="Lato" w:hAnsi="Lato" w:cs="Arial"/>
          <w:b/>
          <w:i/>
          <w:sz w:val="20"/>
          <w:szCs w:val="20"/>
          <w:u w:val="single"/>
        </w:rPr>
      </w:pPr>
      <w:r w:rsidRPr="00355A1B">
        <w:rPr>
          <w:rFonts w:ascii="Lato" w:hAnsi="Lato" w:cs="Arial"/>
          <w:b/>
          <w:i/>
          <w:sz w:val="20"/>
          <w:szCs w:val="20"/>
          <w:u w:val="single"/>
        </w:rPr>
        <w:t>Internal Audit</w:t>
      </w:r>
    </w:p>
    <w:p w14:paraId="34635D62" w14:textId="77777777" w:rsidR="009C0EFC" w:rsidRPr="00355A1B" w:rsidRDefault="009C0EFC" w:rsidP="00F04B45">
      <w:pPr>
        <w:pStyle w:val="TableText0"/>
        <w:spacing w:after="120"/>
        <w:jc w:val="both"/>
        <w:rPr>
          <w:rFonts w:ascii="Lato" w:hAnsi="Lato" w:cs="Arial"/>
          <w:sz w:val="20"/>
          <w:szCs w:val="20"/>
        </w:rPr>
      </w:pPr>
      <w:r w:rsidRPr="00355A1B">
        <w:rPr>
          <w:rFonts w:ascii="Lato" w:hAnsi="Lato" w:cs="Arial"/>
          <w:sz w:val="20"/>
          <w:szCs w:val="20"/>
        </w:rPr>
        <w:t>The entity has an internal aud</w:t>
      </w:r>
      <w:r w:rsidR="00C5215F" w:rsidRPr="00355A1B">
        <w:rPr>
          <w:rFonts w:ascii="Lato" w:hAnsi="Lato" w:cs="Arial"/>
          <w:sz w:val="20"/>
          <w:szCs w:val="20"/>
        </w:rPr>
        <w:t xml:space="preserve">it department headed by Mr. </w:t>
      </w:r>
      <w:r w:rsidRPr="00355A1B">
        <w:rPr>
          <w:rFonts w:ascii="Lato" w:hAnsi="Lato" w:cs="Arial"/>
          <w:sz w:val="20"/>
          <w:szCs w:val="20"/>
        </w:rPr>
        <w:t xml:space="preserve">Uddin. IA reports functionally and administratively to the </w:t>
      </w:r>
      <w:r w:rsidR="00C5215F" w:rsidRPr="00355A1B">
        <w:rPr>
          <w:rFonts w:ascii="Lato" w:hAnsi="Lato" w:cs="Arial"/>
          <w:sz w:val="20"/>
          <w:szCs w:val="20"/>
        </w:rPr>
        <w:t xml:space="preserve">Audit Committee, </w:t>
      </w:r>
      <w:r w:rsidRPr="00355A1B">
        <w:rPr>
          <w:rFonts w:ascii="Lato" w:hAnsi="Lato" w:cs="Arial"/>
          <w:sz w:val="20"/>
          <w:szCs w:val="20"/>
        </w:rPr>
        <w:t>IA works according to an annual internal audit plan. The audit plan contains which divisions are to be visited on which dates or which sides to be audited. The activities of IA focus primarily on:</w:t>
      </w:r>
    </w:p>
    <w:p w14:paraId="63023D02" w14:textId="77777777" w:rsidR="009C0EFC" w:rsidRPr="00355A1B" w:rsidRDefault="009C0EFC" w:rsidP="00F04B45">
      <w:pPr>
        <w:pStyle w:val="Bullet"/>
        <w:numPr>
          <w:ilvl w:val="0"/>
          <w:numId w:val="19"/>
        </w:numPr>
        <w:spacing w:before="0" w:after="120"/>
        <w:jc w:val="both"/>
        <w:rPr>
          <w:rFonts w:ascii="Lato" w:hAnsi="Lato" w:cs="Arial"/>
          <w:sz w:val="20"/>
          <w:lang w:val="en-GB"/>
        </w:rPr>
      </w:pPr>
      <w:r w:rsidRPr="00355A1B">
        <w:rPr>
          <w:rFonts w:ascii="Lato" w:hAnsi="Lato" w:cs="Arial"/>
          <w:sz w:val="20"/>
          <w:lang w:val="en-GB"/>
        </w:rPr>
        <w:t>Follow up</w:t>
      </w:r>
    </w:p>
    <w:p w14:paraId="67EB6FB5" w14:textId="77777777" w:rsidR="009C0EFC" w:rsidRPr="00355A1B" w:rsidRDefault="009C0EFC" w:rsidP="00F04B45">
      <w:pPr>
        <w:pStyle w:val="Bullet"/>
        <w:numPr>
          <w:ilvl w:val="0"/>
          <w:numId w:val="19"/>
        </w:numPr>
        <w:spacing w:before="0" w:after="120"/>
        <w:jc w:val="both"/>
        <w:rPr>
          <w:rFonts w:ascii="Lato" w:hAnsi="Lato" w:cs="Arial"/>
          <w:sz w:val="20"/>
          <w:lang w:val="en-GB"/>
        </w:rPr>
      </w:pPr>
      <w:r w:rsidRPr="00355A1B">
        <w:rPr>
          <w:rFonts w:ascii="Lato" w:hAnsi="Lato" w:cs="Arial"/>
          <w:sz w:val="20"/>
          <w:lang w:val="en-GB"/>
        </w:rPr>
        <w:t>Compliance</w:t>
      </w:r>
    </w:p>
    <w:p w14:paraId="4E2967DE" w14:textId="77777777" w:rsidR="009C0EFC" w:rsidRPr="00355A1B" w:rsidRDefault="009C0EFC" w:rsidP="00F04B45">
      <w:pPr>
        <w:pStyle w:val="Bullet"/>
        <w:numPr>
          <w:ilvl w:val="0"/>
          <w:numId w:val="19"/>
        </w:numPr>
        <w:spacing w:before="0" w:after="120"/>
        <w:jc w:val="both"/>
        <w:rPr>
          <w:rFonts w:ascii="Lato" w:hAnsi="Lato" w:cs="Arial"/>
          <w:sz w:val="20"/>
          <w:lang w:val="en-GB"/>
        </w:rPr>
      </w:pPr>
      <w:r w:rsidRPr="00355A1B">
        <w:rPr>
          <w:rFonts w:ascii="Lato" w:hAnsi="Lato" w:cs="Arial"/>
          <w:sz w:val="20"/>
          <w:lang w:val="en-GB"/>
        </w:rPr>
        <w:t>Division audit</w:t>
      </w:r>
    </w:p>
    <w:p w14:paraId="258285D1" w14:textId="77777777" w:rsidR="009C0EFC" w:rsidRPr="00355A1B" w:rsidRDefault="009C0EFC" w:rsidP="00F04B45">
      <w:pPr>
        <w:pStyle w:val="Bullet"/>
        <w:numPr>
          <w:ilvl w:val="0"/>
          <w:numId w:val="19"/>
        </w:numPr>
        <w:spacing w:before="0" w:after="120"/>
        <w:jc w:val="both"/>
        <w:rPr>
          <w:rFonts w:ascii="Lato" w:hAnsi="Lato" w:cs="Arial"/>
          <w:sz w:val="20"/>
          <w:lang w:val="en-GB"/>
        </w:rPr>
      </w:pPr>
      <w:r w:rsidRPr="00355A1B">
        <w:rPr>
          <w:rFonts w:ascii="Lato" w:hAnsi="Lato" w:cs="Arial"/>
          <w:sz w:val="20"/>
        </w:rPr>
        <w:t xml:space="preserve">Internal regulations etc.  </w:t>
      </w:r>
    </w:p>
    <w:p w14:paraId="1B54786C" w14:textId="77777777" w:rsidR="009C0EFC" w:rsidRPr="00355A1B" w:rsidRDefault="009C0EFC" w:rsidP="00F04B45">
      <w:pPr>
        <w:pStyle w:val="BodyText2"/>
        <w:spacing w:before="120"/>
        <w:jc w:val="both"/>
        <w:rPr>
          <w:rFonts w:ascii="Lato" w:hAnsi="Lato" w:cs="Arial"/>
          <w:b/>
          <w:bCs/>
          <w:i/>
          <w:u w:val="single"/>
        </w:rPr>
      </w:pPr>
      <w:r w:rsidRPr="00355A1B">
        <w:rPr>
          <w:rFonts w:ascii="Lato" w:hAnsi="Lato" w:cs="Arial"/>
          <w:b/>
          <w:bCs/>
          <w:i/>
          <w:u w:val="single"/>
        </w:rPr>
        <w:t>Sources of fund:</w:t>
      </w:r>
    </w:p>
    <w:p w14:paraId="129C8461" w14:textId="77777777" w:rsidR="009C0EFC" w:rsidRPr="00355A1B" w:rsidRDefault="009C0EFC" w:rsidP="00F04B45">
      <w:pPr>
        <w:pStyle w:val="BodyText2"/>
        <w:widowControl/>
        <w:numPr>
          <w:ilvl w:val="0"/>
          <w:numId w:val="20"/>
        </w:numPr>
        <w:autoSpaceDE/>
        <w:autoSpaceDN/>
        <w:adjustRightInd/>
        <w:spacing w:before="120" w:line="240" w:lineRule="auto"/>
        <w:jc w:val="both"/>
        <w:rPr>
          <w:rFonts w:ascii="Lato" w:hAnsi="Lato" w:cs="Arial"/>
          <w:b/>
          <w:bCs/>
        </w:rPr>
      </w:pPr>
      <w:r w:rsidRPr="00355A1B">
        <w:rPr>
          <w:rFonts w:ascii="Lato" w:hAnsi="Lato" w:cs="Arial"/>
        </w:rPr>
        <w:t>Primarily, ordinary share capital.</w:t>
      </w:r>
    </w:p>
    <w:p w14:paraId="198F391C" w14:textId="77777777" w:rsidR="009C0EFC" w:rsidRPr="00355A1B" w:rsidRDefault="009C0EFC" w:rsidP="00F04B45">
      <w:pPr>
        <w:pStyle w:val="BodyText2"/>
        <w:widowControl/>
        <w:numPr>
          <w:ilvl w:val="0"/>
          <w:numId w:val="20"/>
        </w:numPr>
        <w:autoSpaceDE/>
        <w:autoSpaceDN/>
        <w:adjustRightInd/>
        <w:spacing w:before="120" w:line="240" w:lineRule="auto"/>
        <w:jc w:val="both"/>
        <w:rPr>
          <w:rFonts w:ascii="Lato" w:hAnsi="Lato" w:cs="Arial"/>
          <w:b/>
          <w:bCs/>
        </w:rPr>
      </w:pPr>
      <w:r w:rsidRPr="00355A1B">
        <w:rPr>
          <w:rFonts w:ascii="Lato" w:hAnsi="Lato" w:cs="Arial"/>
        </w:rPr>
        <w:t>Long-term loans from Standard Chartered Bank (SCB) and HSBC</w:t>
      </w:r>
    </w:p>
    <w:p w14:paraId="268E9FAB" w14:textId="77777777" w:rsidR="009C0EFC" w:rsidRPr="00355A1B" w:rsidRDefault="009C0EFC" w:rsidP="00F04B45">
      <w:pPr>
        <w:widowControl/>
        <w:numPr>
          <w:ilvl w:val="0"/>
          <w:numId w:val="20"/>
        </w:numPr>
        <w:autoSpaceDE/>
        <w:autoSpaceDN/>
        <w:adjustRightInd/>
        <w:jc w:val="both"/>
        <w:rPr>
          <w:rFonts w:ascii="Lato" w:hAnsi="Lato" w:cs="Arial"/>
        </w:rPr>
      </w:pPr>
      <w:r w:rsidRPr="00355A1B">
        <w:rPr>
          <w:rFonts w:ascii="Lato" w:hAnsi="Lato" w:cs="Arial"/>
        </w:rPr>
        <w:t>Short-term borrowings and overdraft f</w:t>
      </w:r>
      <w:r w:rsidR="001C145B" w:rsidRPr="00355A1B">
        <w:rPr>
          <w:rFonts w:ascii="Lato" w:hAnsi="Lato" w:cs="Arial"/>
        </w:rPr>
        <w:t>aci</w:t>
      </w:r>
      <w:r w:rsidRPr="00355A1B">
        <w:rPr>
          <w:rFonts w:ascii="Lato" w:hAnsi="Lato" w:cs="Arial"/>
        </w:rPr>
        <w:t xml:space="preserve">lities from SCB, HSBC, Commercial Bank of Ceylon, Citi Bank N.A. and Mercantile bank. </w:t>
      </w:r>
    </w:p>
    <w:p w14:paraId="48903B50" w14:textId="77777777" w:rsidR="00A9403A" w:rsidRPr="00355A1B" w:rsidRDefault="00A9403A">
      <w:pPr>
        <w:widowControl/>
        <w:autoSpaceDE/>
        <w:autoSpaceDN/>
        <w:adjustRightInd/>
        <w:spacing w:after="160" w:line="259" w:lineRule="auto"/>
        <w:rPr>
          <w:rFonts w:ascii="Lato" w:hAnsi="Lato" w:cs="Arial"/>
          <w:b/>
          <w:i/>
          <w:u w:val="single"/>
          <w:lang w:val="en-GB"/>
        </w:rPr>
      </w:pPr>
      <w:r w:rsidRPr="00355A1B">
        <w:rPr>
          <w:rFonts w:ascii="Lato" w:hAnsi="Lato" w:cs="Arial"/>
          <w:b/>
          <w:u w:val="single"/>
        </w:rPr>
        <w:br w:type="page"/>
      </w:r>
    </w:p>
    <w:p w14:paraId="60403DE2" w14:textId="77777777" w:rsidR="00B977D3" w:rsidRPr="00355A1B" w:rsidRDefault="00B977D3" w:rsidP="00F04B45">
      <w:pPr>
        <w:pStyle w:val="Head2"/>
        <w:rPr>
          <w:rFonts w:ascii="Lato" w:hAnsi="Lato" w:cs="Arial"/>
          <w:b/>
          <w:sz w:val="20"/>
          <w:szCs w:val="20"/>
          <w:u w:val="single"/>
        </w:rPr>
      </w:pPr>
      <w:r w:rsidRPr="00355A1B">
        <w:rPr>
          <w:rFonts w:ascii="Lato" w:hAnsi="Lato" w:cs="Arial"/>
          <w:b/>
          <w:sz w:val="20"/>
          <w:szCs w:val="20"/>
          <w:u w:val="single"/>
        </w:rPr>
        <w:lastRenderedPageBreak/>
        <w:t>Objectives and strategies</w:t>
      </w:r>
      <w:r w:rsidR="00CA250B" w:rsidRPr="00355A1B">
        <w:rPr>
          <w:rFonts w:ascii="Lato" w:hAnsi="Lato" w:cs="Arial"/>
          <w:b/>
          <w:sz w:val="20"/>
          <w:szCs w:val="20"/>
          <w:u w:val="single"/>
        </w:rPr>
        <w:t xml:space="preserve"> (from company profile)</w:t>
      </w:r>
    </w:p>
    <w:tbl>
      <w:tblPr>
        <w:tblW w:w="93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4776"/>
      </w:tblGrid>
      <w:tr w:rsidR="00791FC7" w:rsidRPr="00355A1B" w14:paraId="7E8A8B6A" w14:textId="77777777" w:rsidTr="00A94F66">
        <w:trPr>
          <w:trHeight w:val="144"/>
          <w:tblHeader/>
        </w:trPr>
        <w:tc>
          <w:tcPr>
            <w:tcW w:w="4320" w:type="dxa"/>
            <w:vAlign w:val="bottom"/>
          </w:tcPr>
          <w:p w14:paraId="1B92EE6E" w14:textId="77777777" w:rsidR="00791FC7" w:rsidRPr="00355A1B" w:rsidRDefault="00791FC7" w:rsidP="00F04B45">
            <w:pPr>
              <w:pStyle w:val="TableHead"/>
              <w:jc w:val="both"/>
              <w:rPr>
                <w:rFonts w:ascii="Lato" w:hAnsi="Lato" w:cs="Arial"/>
                <w:sz w:val="20"/>
                <w:szCs w:val="20"/>
              </w:rPr>
            </w:pPr>
            <w:r w:rsidRPr="00355A1B">
              <w:rPr>
                <w:rFonts w:ascii="Lato" w:hAnsi="Lato" w:cs="Arial"/>
                <w:sz w:val="20"/>
                <w:szCs w:val="20"/>
              </w:rPr>
              <w:t>Objectives</w:t>
            </w:r>
          </w:p>
        </w:tc>
        <w:tc>
          <w:tcPr>
            <w:tcW w:w="4500" w:type="dxa"/>
            <w:vAlign w:val="bottom"/>
          </w:tcPr>
          <w:p w14:paraId="6ED1B7F1" w14:textId="77777777" w:rsidR="00791FC7" w:rsidRPr="00355A1B" w:rsidRDefault="00791FC7" w:rsidP="00F04B45">
            <w:pPr>
              <w:pStyle w:val="TableHead"/>
              <w:jc w:val="both"/>
              <w:rPr>
                <w:rFonts w:ascii="Lato" w:hAnsi="Lato" w:cs="Arial"/>
                <w:sz w:val="20"/>
                <w:szCs w:val="20"/>
              </w:rPr>
            </w:pPr>
            <w:r w:rsidRPr="00355A1B">
              <w:rPr>
                <w:rFonts w:ascii="Lato" w:hAnsi="Lato" w:cs="Arial"/>
                <w:sz w:val="20"/>
                <w:szCs w:val="20"/>
              </w:rPr>
              <w:t>Strategy and method of implementing the</w:t>
            </w:r>
            <w:r w:rsidRPr="00355A1B">
              <w:rPr>
                <w:rFonts w:ascii="Lato" w:hAnsi="Lato" w:cs="Arial"/>
                <w:sz w:val="20"/>
                <w:szCs w:val="20"/>
              </w:rPr>
              <w:br/>
              <w:t>strategy</w:t>
            </w:r>
          </w:p>
        </w:tc>
      </w:tr>
      <w:tr w:rsidR="00791FC7" w:rsidRPr="00355A1B" w14:paraId="43BD52DE" w14:textId="77777777" w:rsidTr="00A94F66">
        <w:trPr>
          <w:trHeight w:val="144"/>
        </w:trPr>
        <w:tc>
          <w:tcPr>
            <w:tcW w:w="4584" w:type="dxa"/>
          </w:tcPr>
          <w:p w14:paraId="24134CE2" w14:textId="77777777" w:rsidR="00791FC7" w:rsidRPr="00370FD6" w:rsidRDefault="00556097" w:rsidP="00F04B45">
            <w:pPr>
              <w:pStyle w:val="Heading7"/>
              <w:ind w:left="72" w:hanging="72"/>
              <w:rPr>
                <w:rFonts w:ascii="Lato" w:hAnsi="Lato" w:cs="Arial"/>
                <w:b w:val="0"/>
                <w:bCs w:val="0"/>
                <w:color w:val="FF0000"/>
                <w:sz w:val="20"/>
                <w:szCs w:val="20"/>
                <w:highlight w:val="magenta"/>
              </w:rPr>
            </w:pPr>
            <w:r w:rsidRPr="00370FD6">
              <w:rPr>
                <w:rFonts w:ascii="Lato" w:hAnsi="Lato" w:cs="Arial"/>
                <w:color w:val="FF0000"/>
                <w:sz w:val="20"/>
                <w:szCs w:val="20"/>
              </w:rPr>
              <w:t>To increase the</w:t>
            </w:r>
            <w:r w:rsidR="00791FC7" w:rsidRPr="00370FD6">
              <w:rPr>
                <w:rFonts w:ascii="Lato" w:hAnsi="Lato" w:cs="Arial"/>
                <w:color w:val="FF0000"/>
                <w:sz w:val="20"/>
                <w:szCs w:val="20"/>
              </w:rPr>
              <w:t xml:space="preserve"> Net Asset Valu</w:t>
            </w:r>
            <w:r w:rsidRPr="00370FD6">
              <w:rPr>
                <w:rFonts w:ascii="Lato" w:hAnsi="Lato" w:cs="Arial"/>
                <w:color w:val="FF0000"/>
                <w:sz w:val="20"/>
                <w:szCs w:val="20"/>
              </w:rPr>
              <w:t>e Per Share (On 31 December 2014</w:t>
            </w:r>
            <w:r w:rsidR="00791FC7" w:rsidRPr="00370FD6">
              <w:rPr>
                <w:rFonts w:ascii="Lato" w:hAnsi="Lato" w:cs="Arial"/>
                <w:color w:val="FF0000"/>
                <w:sz w:val="20"/>
                <w:szCs w:val="20"/>
              </w:rPr>
              <w:t xml:space="preserve"> NAV was </w:t>
            </w:r>
            <w:r w:rsidRPr="00370FD6">
              <w:rPr>
                <w:rFonts w:ascii="Lato" w:hAnsi="Lato" w:cs="Arial"/>
                <w:color w:val="FF0000"/>
                <w:sz w:val="20"/>
                <w:szCs w:val="20"/>
              </w:rPr>
              <w:t>192</w:t>
            </w:r>
            <w:r w:rsidR="00791FC7" w:rsidRPr="00370FD6">
              <w:rPr>
                <w:rFonts w:ascii="Lato" w:hAnsi="Lato" w:cs="Arial"/>
                <w:color w:val="FF0000"/>
                <w:sz w:val="20"/>
                <w:szCs w:val="20"/>
              </w:rPr>
              <w:t>.</w:t>
            </w:r>
            <w:r w:rsidRPr="00370FD6">
              <w:rPr>
                <w:rFonts w:ascii="Lato" w:hAnsi="Lato" w:cs="Arial"/>
                <w:color w:val="FF0000"/>
                <w:sz w:val="20"/>
                <w:szCs w:val="20"/>
              </w:rPr>
              <w:t>08</w:t>
            </w:r>
            <w:r w:rsidR="00791FC7" w:rsidRPr="00370FD6">
              <w:rPr>
                <w:rFonts w:ascii="Lato" w:hAnsi="Lato" w:cs="Arial"/>
                <w:color w:val="FF0000"/>
                <w:sz w:val="20"/>
                <w:szCs w:val="20"/>
              </w:rPr>
              <w:t xml:space="preserve">) </w:t>
            </w:r>
          </w:p>
        </w:tc>
        <w:tc>
          <w:tcPr>
            <w:tcW w:w="4776" w:type="dxa"/>
          </w:tcPr>
          <w:p w14:paraId="137938D2" w14:textId="77777777" w:rsidR="00791FC7" w:rsidRPr="00355A1B" w:rsidRDefault="00791FC7" w:rsidP="00F04B45">
            <w:pPr>
              <w:widowControl/>
              <w:numPr>
                <w:ilvl w:val="0"/>
                <w:numId w:val="15"/>
              </w:numPr>
              <w:autoSpaceDE/>
              <w:autoSpaceDN/>
              <w:adjustRightInd/>
              <w:spacing w:before="120" w:after="120"/>
              <w:jc w:val="both"/>
              <w:rPr>
                <w:rFonts w:ascii="Lato" w:hAnsi="Lato" w:cs="Arial"/>
              </w:rPr>
            </w:pPr>
            <w:r w:rsidRPr="00355A1B">
              <w:rPr>
                <w:rFonts w:ascii="Lato" w:hAnsi="Lato" w:cs="Arial"/>
              </w:rPr>
              <w:t xml:space="preserve">Introduction of new product. </w:t>
            </w:r>
          </w:p>
          <w:p w14:paraId="2C85850A" w14:textId="77777777" w:rsidR="00791FC7" w:rsidRPr="00355A1B" w:rsidRDefault="00791FC7" w:rsidP="00F04B45">
            <w:pPr>
              <w:widowControl/>
              <w:numPr>
                <w:ilvl w:val="0"/>
                <w:numId w:val="15"/>
              </w:numPr>
              <w:autoSpaceDE/>
              <w:autoSpaceDN/>
              <w:adjustRightInd/>
              <w:spacing w:before="120" w:after="120"/>
              <w:jc w:val="both"/>
              <w:rPr>
                <w:rFonts w:ascii="Lato" w:hAnsi="Lato" w:cs="Arial"/>
              </w:rPr>
            </w:pPr>
            <w:r w:rsidRPr="00355A1B">
              <w:rPr>
                <w:rFonts w:ascii="Lato" w:hAnsi="Lato" w:cs="Arial"/>
              </w:rPr>
              <w:t xml:space="preserve">Increase of promotional activities such as publicity and advertisement, donation and gifts, samples, sales service, doctors’ entertainment, medical services, product bonus to customer, sales incentive to sales representative etc. </w:t>
            </w:r>
          </w:p>
          <w:p w14:paraId="194DA5AE" w14:textId="77777777" w:rsidR="00791FC7" w:rsidRPr="00355A1B" w:rsidRDefault="00791FC7" w:rsidP="00F04B45">
            <w:pPr>
              <w:widowControl/>
              <w:numPr>
                <w:ilvl w:val="0"/>
                <w:numId w:val="15"/>
              </w:numPr>
              <w:autoSpaceDE/>
              <w:autoSpaceDN/>
              <w:adjustRightInd/>
              <w:spacing w:before="120" w:after="120"/>
              <w:jc w:val="both"/>
              <w:rPr>
                <w:rFonts w:ascii="Lato" w:hAnsi="Lato" w:cs="Arial"/>
              </w:rPr>
            </w:pPr>
            <w:r w:rsidRPr="00355A1B">
              <w:rPr>
                <w:rFonts w:ascii="Lato" w:hAnsi="Lato" w:cs="Arial"/>
              </w:rPr>
              <w:t>Increase production efficiency through reducing process loss</w:t>
            </w:r>
          </w:p>
          <w:p w14:paraId="52D9BDE8" w14:textId="77777777" w:rsidR="00791FC7" w:rsidRPr="00355A1B" w:rsidRDefault="00791FC7" w:rsidP="00F04B45">
            <w:pPr>
              <w:widowControl/>
              <w:numPr>
                <w:ilvl w:val="0"/>
                <w:numId w:val="15"/>
              </w:numPr>
              <w:autoSpaceDE/>
              <w:autoSpaceDN/>
              <w:adjustRightInd/>
              <w:spacing w:before="120" w:after="120"/>
              <w:jc w:val="both"/>
              <w:rPr>
                <w:rFonts w:ascii="Lato" w:hAnsi="Lato" w:cs="Arial"/>
              </w:rPr>
            </w:pPr>
            <w:r w:rsidRPr="00355A1B">
              <w:rPr>
                <w:rFonts w:ascii="Lato" w:hAnsi="Lato" w:cs="Arial"/>
              </w:rPr>
              <w:t xml:space="preserve">Penetration of new markets for animal health, fertilizers, tractors, seeds and consumer business. </w:t>
            </w:r>
          </w:p>
          <w:p w14:paraId="065741E1" w14:textId="77777777" w:rsidR="00791FC7" w:rsidRPr="00355A1B" w:rsidRDefault="00791FC7" w:rsidP="00F04B45">
            <w:pPr>
              <w:widowControl/>
              <w:numPr>
                <w:ilvl w:val="0"/>
                <w:numId w:val="15"/>
              </w:numPr>
              <w:autoSpaceDE/>
              <w:autoSpaceDN/>
              <w:adjustRightInd/>
              <w:spacing w:before="120" w:after="120"/>
              <w:jc w:val="both"/>
              <w:rPr>
                <w:rFonts w:ascii="Lato" w:hAnsi="Lato" w:cs="Arial"/>
                <w:b/>
                <w:bCs/>
              </w:rPr>
            </w:pPr>
            <w:r w:rsidRPr="00355A1B">
              <w:rPr>
                <w:rFonts w:ascii="Lato" w:hAnsi="Lato" w:cs="Arial"/>
              </w:rPr>
              <w:t xml:space="preserve">Increase quality of customer service through prompt response of queries. </w:t>
            </w:r>
          </w:p>
          <w:p w14:paraId="5C870AFC" w14:textId="77777777" w:rsidR="00791FC7" w:rsidRPr="00355A1B" w:rsidRDefault="00791FC7" w:rsidP="00F04B45">
            <w:pPr>
              <w:widowControl/>
              <w:numPr>
                <w:ilvl w:val="0"/>
                <w:numId w:val="15"/>
              </w:numPr>
              <w:autoSpaceDE/>
              <w:autoSpaceDN/>
              <w:adjustRightInd/>
              <w:spacing w:before="120" w:after="120"/>
              <w:jc w:val="both"/>
              <w:rPr>
                <w:rFonts w:ascii="Lato" w:hAnsi="Lato" w:cs="Arial"/>
                <w:b/>
                <w:bCs/>
              </w:rPr>
            </w:pPr>
            <w:r w:rsidRPr="00355A1B">
              <w:rPr>
                <w:rFonts w:ascii="Lato" w:hAnsi="Lato" w:cs="Arial"/>
              </w:rPr>
              <w:t>Sales and marketing department has been restructured from traditional to customer-oriented center.</w:t>
            </w:r>
          </w:p>
        </w:tc>
      </w:tr>
      <w:tr w:rsidR="00791FC7" w:rsidRPr="00355A1B" w14:paraId="6050D112" w14:textId="77777777" w:rsidTr="00A94F66">
        <w:trPr>
          <w:trHeight w:val="144"/>
        </w:trPr>
        <w:tc>
          <w:tcPr>
            <w:tcW w:w="4584" w:type="dxa"/>
          </w:tcPr>
          <w:p w14:paraId="5120E903" w14:textId="77777777" w:rsidR="00791FC7" w:rsidRPr="00370FD6" w:rsidRDefault="00791FC7" w:rsidP="00F04B45">
            <w:pPr>
              <w:pStyle w:val="Tabletext"/>
              <w:jc w:val="both"/>
              <w:rPr>
                <w:rFonts w:ascii="Lato" w:hAnsi="Lato" w:cs="Arial"/>
                <w:color w:val="FF0000"/>
                <w:sz w:val="20"/>
                <w:highlight w:val="magenta"/>
              </w:rPr>
            </w:pPr>
            <w:r w:rsidRPr="00370FD6">
              <w:rPr>
                <w:rFonts w:ascii="Lato" w:hAnsi="Lato" w:cs="Arial"/>
                <w:color w:val="FF0000"/>
                <w:sz w:val="20"/>
              </w:rPr>
              <w:t xml:space="preserve">Achieving a gross profit to sales ratio of </w:t>
            </w:r>
            <w:r w:rsidR="007B3F4C" w:rsidRPr="00370FD6">
              <w:rPr>
                <w:rFonts w:ascii="Lato" w:hAnsi="Lato" w:cs="Arial"/>
                <w:color w:val="FF0000"/>
                <w:sz w:val="20"/>
              </w:rPr>
              <w:t>45% for Pharmaceutical</w:t>
            </w:r>
          </w:p>
        </w:tc>
        <w:tc>
          <w:tcPr>
            <w:tcW w:w="4776" w:type="dxa"/>
          </w:tcPr>
          <w:p w14:paraId="7697F42C" w14:textId="77777777" w:rsidR="00791FC7" w:rsidRPr="00355A1B" w:rsidRDefault="00791FC7" w:rsidP="00F04B45">
            <w:pPr>
              <w:pStyle w:val="Tabletext"/>
              <w:numPr>
                <w:ilvl w:val="0"/>
                <w:numId w:val="16"/>
              </w:numPr>
              <w:jc w:val="both"/>
              <w:rPr>
                <w:rFonts w:ascii="Lato" w:hAnsi="Lato" w:cs="Arial"/>
                <w:sz w:val="20"/>
              </w:rPr>
            </w:pPr>
            <w:r w:rsidRPr="00355A1B">
              <w:rPr>
                <w:rFonts w:ascii="Lato" w:hAnsi="Lato" w:cs="Arial"/>
                <w:sz w:val="20"/>
              </w:rPr>
              <w:t xml:space="preserve">By increasing </w:t>
            </w:r>
            <w:r w:rsidR="001856FA" w:rsidRPr="00355A1B">
              <w:rPr>
                <w:rFonts w:ascii="Lato" w:hAnsi="Lato" w:cs="Arial"/>
                <w:sz w:val="20"/>
              </w:rPr>
              <w:t>concentrsting more on high ma</w:t>
            </w:r>
            <w:r w:rsidRPr="00355A1B">
              <w:rPr>
                <w:rFonts w:ascii="Lato" w:hAnsi="Lato" w:cs="Arial"/>
                <w:sz w:val="20"/>
              </w:rPr>
              <w:t>rgin products and increasing sales price and profit through product diversification and better utilization of resources and f</w:t>
            </w:r>
            <w:r w:rsidR="007F48CA" w:rsidRPr="00355A1B">
              <w:rPr>
                <w:rFonts w:ascii="Lato" w:hAnsi="Lato" w:cs="Arial"/>
                <w:sz w:val="20"/>
              </w:rPr>
              <w:t>aci</w:t>
            </w:r>
            <w:r w:rsidRPr="00355A1B">
              <w:rPr>
                <w:rFonts w:ascii="Lato" w:hAnsi="Lato" w:cs="Arial"/>
                <w:sz w:val="20"/>
              </w:rPr>
              <w:t>lities. Furthermore they plan to penetrate the new markets for agro chemical products. In addition to the above, the company will emphasize on the promotional activities to the current addressed market of pharmaceuticals for capturing more sales.</w:t>
            </w:r>
          </w:p>
          <w:p w14:paraId="3E7F4541" w14:textId="77777777" w:rsidR="00791FC7" w:rsidRPr="00355A1B" w:rsidRDefault="00791FC7" w:rsidP="00F04B45">
            <w:pPr>
              <w:pStyle w:val="Tabletext"/>
              <w:numPr>
                <w:ilvl w:val="0"/>
                <w:numId w:val="16"/>
              </w:numPr>
              <w:jc w:val="both"/>
              <w:rPr>
                <w:rFonts w:ascii="Lato" w:hAnsi="Lato" w:cs="Arial"/>
                <w:sz w:val="20"/>
              </w:rPr>
            </w:pPr>
            <w:r w:rsidRPr="00355A1B">
              <w:rPr>
                <w:rFonts w:ascii="Lato" w:hAnsi="Lato" w:cs="Arial"/>
                <w:sz w:val="20"/>
              </w:rPr>
              <w:t xml:space="preserve">Decrease of stock holding period </w:t>
            </w:r>
          </w:p>
          <w:p w14:paraId="33909F76" w14:textId="77777777" w:rsidR="00791FC7" w:rsidRPr="00355A1B" w:rsidRDefault="00791FC7" w:rsidP="00F04B45">
            <w:pPr>
              <w:pStyle w:val="Tabletext"/>
              <w:numPr>
                <w:ilvl w:val="0"/>
                <w:numId w:val="16"/>
              </w:numPr>
              <w:jc w:val="both"/>
              <w:rPr>
                <w:rFonts w:ascii="Lato" w:hAnsi="Lato" w:cs="Arial"/>
                <w:sz w:val="20"/>
              </w:rPr>
            </w:pPr>
            <w:r w:rsidRPr="00355A1B">
              <w:rPr>
                <w:rFonts w:ascii="Lato" w:hAnsi="Lato" w:cs="Arial"/>
                <w:sz w:val="20"/>
              </w:rPr>
              <w:t xml:space="preserve">Increased of stock turnover based on sales </w:t>
            </w:r>
          </w:p>
          <w:p w14:paraId="4E424B55" w14:textId="77777777" w:rsidR="00791FC7" w:rsidRPr="00355A1B" w:rsidRDefault="00791FC7" w:rsidP="00F04B45">
            <w:pPr>
              <w:pStyle w:val="Tabletext"/>
              <w:numPr>
                <w:ilvl w:val="0"/>
                <w:numId w:val="16"/>
              </w:numPr>
              <w:jc w:val="both"/>
              <w:rPr>
                <w:rFonts w:ascii="Lato" w:hAnsi="Lato" w:cs="Arial"/>
                <w:sz w:val="20"/>
              </w:rPr>
            </w:pPr>
            <w:r w:rsidRPr="00355A1B">
              <w:rPr>
                <w:rFonts w:ascii="Lato" w:hAnsi="Lato" w:cs="Arial"/>
                <w:sz w:val="20"/>
              </w:rPr>
              <w:t xml:space="preserve">Decreased of stock to sales ratio </w:t>
            </w:r>
          </w:p>
        </w:tc>
      </w:tr>
    </w:tbl>
    <w:p w14:paraId="17718D89" w14:textId="77777777" w:rsidR="00B977D3" w:rsidRPr="00355A1B" w:rsidRDefault="00B977D3" w:rsidP="00F04B45">
      <w:pPr>
        <w:pStyle w:val="Tabletext"/>
        <w:spacing w:before="80" w:after="40"/>
        <w:jc w:val="both"/>
        <w:rPr>
          <w:rFonts w:ascii="Lato" w:hAnsi="Lato" w:cs="Arial"/>
          <w:sz w:val="20"/>
        </w:rPr>
      </w:pPr>
    </w:p>
    <w:p w14:paraId="7A4F8D1E" w14:textId="77777777" w:rsidR="00B977D3" w:rsidRPr="00355A1B" w:rsidRDefault="00EC2515" w:rsidP="00F04B45">
      <w:pPr>
        <w:pStyle w:val="Tabletext"/>
        <w:spacing w:before="80" w:after="40"/>
        <w:jc w:val="both"/>
        <w:rPr>
          <w:rFonts w:ascii="Lato" w:hAnsi="Lato" w:cs="Arial"/>
          <w:b/>
          <w:i/>
          <w:sz w:val="20"/>
          <w:u w:val="single"/>
        </w:rPr>
      </w:pPr>
      <w:r w:rsidRPr="00355A1B">
        <w:rPr>
          <w:rFonts w:ascii="Lato" w:hAnsi="Lato" w:cs="Arial"/>
          <w:b/>
          <w:i/>
          <w:sz w:val="20"/>
          <w:u w:val="single"/>
        </w:rPr>
        <w:t>Conduct of operations</w:t>
      </w:r>
    </w:p>
    <w:p w14:paraId="58E5BB9F" w14:textId="77777777" w:rsidR="00EC2515" w:rsidRPr="00355A1B" w:rsidRDefault="00EC2515" w:rsidP="00F04B45">
      <w:pPr>
        <w:pStyle w:val="Text"/>
        <w:jc w:val="both"/>
        <w:rPr>
          <w:rFonts w:ascii="Lato" w:hAnsi="Lato" w:cs="Arial"/>
          <w:iCs/>
          <w:sz w:val="20"/>
        </w:rPr>
      </w:pPr>
      <w:r w:rsidRPr="00355A1B">
        <w:rPr>
          <w:rFonts w:ascii="Lato" w:hAnsi="Lato" w:cs="Arial"/>
          <w:iCs/>
          <w:sz w:val="20"/>
        </w:rPr>
        <w:t xml:space="preserve">The key operational activities may be summarized as follows: </w:t>
      </w:r>
    </w:p>
    <w:p w14:paraId="005BA931" w14:textId="77777777" w:rsidR="00EC2515" w:rsidRPr="00355A1B" w:rsidRDefault="00EC2515" w:rsidP="00F04B45">
      <w:pPr>
        <w:pStyle w:val="Text"/>
        <w:numPr>
          <w:ilvl w:val="0"/>
          <w:numId w:val="17"/>
        </w:numPr>
        <w:spacing w:before="0"/>
        <w:jc w:val="both"/>
        <w:rPr>
          <w:rFonts w:ascii="Lato" w:hAnsi="Lato" w:cs="Arial"/>
          <w:i/>
          <w:sz w:val="20"/>
        </w:rPr>
      </w:pPr>
      <w:r w:rsidRPr="00355A1B">
        <w:rPr>
          <w:rFonts w:ascii="Lato" w:hAnsi="Lato" w:cs="Arial"/>
          <w:sz w:val="20"/>
        </w:rPr>
        <w:t>Inventory management and logistics</w:t>
      </w:r>
    </w:p>
    <w:p w14:paraId="57767BE4" w14:textId="77777777" w:rsidR="00EC2515" w:rsidRPr="00355A1B" w:rsidRDefault="00EC2515" w:rsidP="00F04B45">
      <w:pPr>
        <w:pStyle w:val="Text"/>
        <w:numPr>
          <w:ilvl w:val="0"/>
          <w:numId w:val="17"/>
        </w:numPr>
        <w:spacing w:before="0"/>
        <w:jc w:val="both"/>
        <w:rPr>
          <w:rFonts w:ascii="Lato" w:hAnsi="Lato" w:cs="Arial"/>
          <w:sz w:val="20"/>
        </w:rPr>
      </w:pPr>
      <w:r w:rsidRPr="00355A1B">
        <w:rPr>
          <w:rFonts w:ascii="Lato" w:hAnsi="Lato" w:cs="Arial"/>
          <w:sz w:val="20"/>
        </w:rPr>
        <w:t xml:space="preserve">Supplier selection and </w:t>
      </w:r>
      <w:r w:rsidRPr="00355A1B">
        <w:rPr>
          <w:rFonts w:ascii="Lato" w:hAnsi="Lato" w:cs="Arial"/>
          <w:iCs/>
          <w:sz w:val="20"/>
        </w:rPr>
        <w:t>material procurement</w:t>
      </w:r>
    </w:p>
    <w:p w14:paraId="777BB16B" w14:textId="77777777" w:rsidR="00EC2515" w:rsidRPr="00355A1B" w:rsidRDefault="00EC2515" w:rsidP="00F04B45">
      <w:pPr>
        <w:pStyle w:val="Text"/>
        <w:numPr>
          <w:ilvl w:val="0"/>
          <w:numId w:val="17"/>
        </w:numPr>
        <w:spacing w:before="0"/>
        <w:jc w:val="both"/>
        <w:rPr>
          <w:rFonts w:ascii="Lato" w:hAnsi="Lato" w:cs="Arial"/>
          <w:iCs/>
          <w:sz w:val="20"/>
        </w:rPr>
      </w:pPr>
      <w:r w:rsidRPr="00355A1B">
        <w:rPr>
          <w:rFonts w:ascii="Lato" w:hAnsi="Lato" w:cs="Arial"/>
          <w:iCs/>
          <w:sz w:val="20"/>
        </w:rPr>
        <w:t>Production</w:t>
      </w:r>
    </w:p>
    <w:p w14:paraId="5F524B0F" w14:textId="77777777" w:rsidR="00EC2515" w:rsidRPr="00355A1B" w:rsidRDefault="00EC2515" w:rsidP="00F04B45">
      <w:pPr>
        <w:pStyle w:val="Text"/>
        <w:numPr>
          <w:ilvl w:val="0"/>
          <w:numId w:val="17"/>
        </w:numPr>
        <w:spacing w:before="0"/>
        <w:jc w:val="both"/>
        <w:rPr>
          <w:rFonts w:ascii="Lato" w:hAnsi="Lato" w:cs="Arial"/>
          <w:iCs/>
          <w:sz w:val="20"/>
        </w:rPr>
      </w:pPr>
      <w:r w:rsidRPr="00355A1B">
        <w:rPr>
          <w:rFonts w:ascii="Lato" w:hAnsi="Lato" w:cs="Arial"/>
          <w:iCs/>
          <w:sz w:val="20"/>
        </w:rPr>
        <w:t>Sales and marketing</w:t>
      </w:r>
    </w:p>
    <w:p w14:paraId="73165B95" w14:textId="77777777" w:rsidR="00EC2515" w:rsidRPr="00355A1B" w:rsidRDefault="00EC2515" w:rsidP="00F04B45">
      <w:pPr>
        <w:pStyle w:val="TOC5"/>
        <w:numPr>
          <w:ilvl w:val="0"/>
          <w:numId w:val="17"/>
        </w:numPr>
        <w:jc w:val="both"/>
        <w:rPr>
          <w:rFonts w:ascii="Lato" w:hAnsi="Lato" w:cs="Arial"/>
          <w:sz w:val="20"/>
          <w:szCs w:val="20"/>
        </w:rPr>
      </w:pPr>
      <w:r w:rsidRPr="00355A1B">
        <w:rPr>
          <w:rFonts w:ascii="Lato" w:hAnsi="Lato" w:cs="Arial"/>
          <w:sz w:val="20"/>
          <w:szCs w:val="20"/>
        </w:rPr>
        <w:t>Overall administration</w:t>
      </w:r>
    </w:p>
    <w:p w14:paraId="3BC45ADD" w14:textId="77777777" w:rsidR="003C3E6F" w:rsidRPr="00355A1B" w:rsidRDefault="003C3E6F" w:rsidP="00F04B45">
      <w:pPr>
        <w:pStyle w:val="Head2"/>
        <w:rPr>
          <w:rFonts w:ascii="Lato" w:hAnsi="Lato" w:cs="Arial"/>
          <w:b/>
          <w:sz w:val="20"/>
          <w:szCs w:val="20"/>
          <w:u w:val="single"/>
        </w:rPr>
      </w:pPr>
      <w:r w:rsidRPr="00355A1B">
        <w:rPr>
          <w:rFonts w:ascii="Lato" w:hAnsi="Lato" w:cs="Arial"/>
          <w:b/>
          <w:sz w:val="20"/>
          <w:szCs w:val="20"/>
          <w:u w:val="single"/>
        </w:rPr>
        <w:lastRenderedPageBreak/>
        <w:t>Customers</w:t>
      </w:r>
    </w:p>
    <w:p w14:paraId="76DEB450" w14:textId="77777777" w:rsidR="003C3E6F" w:rsidRPr="00355A1B" w:rsidRDefault="003C3E6F" w:rsidP="00F04B45">
      <w:pPr>
        <w:spacing w:before="120" w:after="120"/>
        <w:jc w:val="both"/>
        <w:rPr>
          <w:rFonts w:ascii="Lato" w:hAnsi="Lato" w:cs="Arial"/>
          <w:b/>
        </w:rPr>
      </w:pPr>
      <w:r w:rsidRPr="00355A1B">
        <w:rPr>
          <w:rFonts w:ascii="Lato" w:hAnsi="Lato" w:cs="Arial"/>
          <w:b/>
        </w:rPr>
        <w:t xml:space="preserve">Major customer segments in relation to business divisions are mentioned as follows: </w:t>
      </w:r>
    </w:p>
    <w:p w14:paraId="788F50C9" w14:textId="1F968689" w:rsidR="003C3E6F" w:rsidRPr="00355A1B" w:rsidRDefault="005A0BD6" w:rsidP="00F04B45">
      <w:pPr>
        <w:widowControl/>
        <w:numPr>
          <w:ilvl w:val="0"/>
          <w:numId w:val="13"/>
        </w:numPr>
        <w:autoSpaceDE/>
        <w:autoSpaceDN/>
        <w:adjustRightInd/>
        <w:spacing w:before="120" w:after="120"/>
        <w:jc w:val="both"/>
        <w:rPr>
          <w:rFonts w:ascii="Lato" w:hAnsi="Lato" w:cs="Arial"/>
        </w:rPr>
      </w:pPr>
      <w:r>
        <w:rPr>
          <w:rFonts w:ascii="Lato" w:hAnsi="Lato" w:cs="Arial"/>
        </w:rPr>
        <w:t>5</w:t>
      </w:r>
    </w:p>
    <w:p w14:paraId="2D1B2050" w14:textId="77777777" w:rsidR="003C3E6F" w:rsidRPr="00355A1B" w:rsidRDefault="003C3E6F" w:rsidP="00F04B45">
      <w:pPr>
        <w:pStyle w:val="Head2"/>
        <w:rPr>
          <w:rFonts w:ascii="Lato" w:hAnsi="Lato" w:cs="Arial"/>
          <w:b/>
          <w:sz w:val="20"/>
          <w:szCs w:val="20"/>
          <w:u w:val="single"/>
        </w:rPr>
      </w:pPr>
      <w:r w:rsidRPr="00355A1B">
        <w:rPr>
          <w:rFonts w:ascii="Lato" w:hAnsi="Lato" w:cs="Arial"/>
          <w:b/>
          <w:sz w:val="20"/>
          <w:szCs w:val="20"/>
          <w:u w:val="single"/>
        </w:rPr>
        <w:t>Suppliers</w:t>
      </w:r>
    </w:p>
    <w:p w14:paraId="04B3691E" w14:textId="77777777" w:rsidR="003C3E6F" w:rsidRPr="00355A1B" w:rsidRDefault="003C3E6F" w:rsidP="00F04B45">
      <w:pPr>
        <w:pStyle w:val="Tabletext"/>
        <w:jc w:val="both"/>
        <w:rPr>
          <w:rFonts w:ascii="Lato" w:hAnsi="Lato" w:cs="Arial"/>
          <w:i/>
          <w:iCs/>
          <w:sz w:val="20"/>
        </w:rPr>
      </w:pPr>
      <w:r w:rsidRPr="00355A1B">
        <w:rPr>
          <w:rFonts w:ascii="Lato" w:hAnsi="Lato" w:cs="Arial"/>
          <w:i/>
          <w:iCs/>
          <w:sz w:val="20"/>
        </w:rPr>
        <w:t xml:space="preserve">Local suppliers: </w:t>
      </w:r>
    </w:p>
    <w:p w14:paraId="71D46562" w14:textId="77777777" w:rsidR="003C3E6F" w:rsidRPr="00355A1B" w:rsidRDefault="003C3E6F" w:rsidP="00F04B45">
      <w:pPr>
        <w:widowControl/>
        <w:jc w:val="both"/>
        <w:rPr>
          <w:rFonts w:ascii="Lato" w:hAnsi="Lato" w:cs="Arial"/>
          <w:bCs/>
          <w:iCs/>
        </w:rPr>
      </w:pPr>
      <w:r w:rsidRPr="00355A1B">
        <w:rPr>
          <w:rFonts w:ascii="Lato" w:hAnsi="Lato" w:cs="Arial"/>
        </w:rPr>
        <w:t xml:space="preserve">Local suppliers include some press companies like </w:t>
      </w:r>
      <w:r w:rsidR="00F6332E" w:rsidRPr="00355A1B">
        <w:rPr>
          <w:rFonts w:ascii="Lato" w:hAnsi="Lato" w:cs="Arial"/>
        </w:rPr>
        <w:t>K</w:t>
      </w:r>
      <w:r w:rsidRPr="00355A1B">
        <w:rPr>
          <w:rFonts w:ascii="Lato" w:hAnsi="Lato" w:cs="Arial"/>
        </w:rPr>
        <w:t xml:space="preserve"> Press Limited, H Printing, </w:t>
      </w:r>
      <w:r w:rsidR="00FA6418" w:rsidRPr="00355A1B">
        <w:rPr>
          <w:rFonts w:ascii="Lato" w:hAnsi="Lato" w:cs="Arial"/>
        </w:rPr>
        <w:t>I printing</w:t>
      </w:r>
      <w:r w:rsidRPr="00355A1B">
        <w:rPr>
          <w:rFonts w:ascii="Lato" w:hAnsi="Lato" w:cs="Arial"/>
        </w:rPr>
        <w:t xml:space="preserve"> and packaging limited, L Plastic Industries </w:t>
      </w:r>
      <w:proofErr w:type="spellStart"/>
      <w:proofErr w:type="gramStart"/>
      <w:r w:rsidRPr="00355A1B">
        <w:rPr>
          <w:rFonts w:ascii="Lato" w:hAnsi="Lato" w:cs="Arial"/>
        </w:rPr>
        <w:t>Ltd.,</w:t>
      </w:r>
      <w:r w:rsidR="00FA6418" w:rsidRPr="00355A1B">
        <w:rPr>
          <w:rFonts w:ascii="Lato" w:hAnsi="Lato" w:cs="Arial"/>
        </w:rPr>
        <w:t>X</w:t>
      </w:r>
      <w:proofErr w:type="spellEnd"/>
      <w:proofErr w:type="gramEnd"/>
      <w:r w:rsidR="00FA6418" w:rsidRPr="00355A1B">
        <w:rPr>
          <w:rFonts w:ascii="Lato" w:hAnsi="Lato" w:cs="Arial"/>
        </w:rPr>
        <w:t xml:space="preserve"> ltd, Y Ltd, Z Ltd E Ltd X Ltd, </w:t>
      </w:r>
      <w:r w:rsidRPr="00355A1B">
        <w:rPr>
          <w:rFonts w:ascii="Lato" w:hAnsi="Lato" w:cs="Arial"/>
        </w:rPr>
        <w:t>pharmaceutical company like Square Pharmaceuticals etc.</w:t>
      </w:r>
      <w:r w:rsidR="00F6332E" w:rsidRPr="00355A1B">
        <w:rPr>
          <w:rFonts w:ascii="Lato" w:hAnsi="Lato" w:cs="Arial"/>
        </w:rPr>
        <w:t xml:space="preserve"> </w:t>
      </w:r>
      <w:r w:rsidR="00F6332E" w:rsidRPr="00355A1B">
        <w:rPr>
          <w:rFonts w:ascii="Lato" w:hAnsi="Lato" w:cs="Arial"/>
          <w:bCs/>
          <w:iCs/>
        </w:rPr>
        <w:t xml:space="preserve">CC &amp; PH supplies crop protection chemicals, Seed supplies Hybrid Rice, vegetable and Maize seeds, Fertilizer Supplies Micronutrient and </w:t>
      </w:r>
      <w:proofErr w:type="spellStart"/>
      <w:r w:rsidR="00F6332E" w:rsidRPr="00355A1B">
        <w:rPr>
          <w:rFonts w:ascii="Lato" w:hAnsi="Lato" w:cs="Arial"/>
          <w:bCs/>
          <w:iCs/>
        </w:rPr>
        <w:t>Foiler</w:t>
      </w:r>
      <w:proofErr w:type="spellEnd"/>
      <w:r w:rsidR="00F6332E" w:rsidRPr="00355A1B">
        <w:rPr>
          <w:rFonts w:ascii="Lato" w:hAnsi="Lato" w:cs="Arial"/>
          <w:bCs/>
          <w:iCs/>
        </w:rPr>
        <w:t xml:space="preserve"> fertilizer, </w:t>
      </w:r>
      <w:proofErr w:type="spellStart"/>
      <w:r w:rsidR="00F6332E" w:rsidRPr="00355A1B">
        <w:rPr>
          <w:rFonts w:ascii="Lato" w:hAnsi="Lato" w:cs="Arial"/>
          <w:bCs/>
          <w:iCs/>
        </w:rPr>
        <w:t>Agrimachineries</w:t>
      </w:r>
      <w:proofErr w:type="spellEnd"/>
      <w:r w:rsidR="00F6332E" w:rsidRPr="00355A1B">
        <w:rPr>
          <w:rFonts w:ascii="Lato" w:hAnsi="Lato" w:cs="Arial"/>
          <w:bCs/>
          <w:iCs/>
        </w:rPr>
        <w:t xml:space="preserve"> supplies Tractors, Power Tiller and Harvester and Animal Health supplies high quality Nutritional, Veterinary and Poultry medicines and vaccines.</w:t>
      </w:r>
      <w:r w:rsidRPr="00355A1B">
        <w:rPr>
          <w:rFonts w:ascii="Lato" w:hAnsi="Lato" w:cs="Arial"/>
        </w:rPr>
        <w:t xml:space="preserve"> </w:t>
      </w:r>
    </w:p>
    <w:p w14:paraId="7C42575C" w14:textId="77777777" w:rsidR="003C3E6F" w:rsidRPr="00355A1B" w:rsidRDefault="003C3E6F" w:rsidP="00F04B45">
      <w:pPr>
        <w:pStyle w:val="Tabletext"/>
        <w:jc w:val="both"/>
        <w:rPr>
          <w:rFonts w:ascii="Lato" w:hAnsi="Lato" w:cs="Arial"/>
          <w:i/>
          <w:iCs/>
          <w:sz w:val="20"/>
        </w:rPr>
      </w:pPr>
      <w:r w:rsidRPr="00355A1B">
        <w:rPr>
          <w:rFonts w:ascii="Lato" w:hAnsi="Lato" w:cs="Arial"/>
          <w:i/>
          <w:iCs/>
          <w:sz w:val="20"/>
        </w:rPr>
        <w:t>Foreign suppliers from the following countries:</w:t>
      </w:r>
    </w:p>
    <w:p w14:paraId="181E60E1" w14:textId="77777777" w:rsidR="003C3E6F" w:rsidRPr="00355A1B" w:rsidRDefault="003C3E6F" w:rsidP="00F04B45">
      <w:pPr>
        <w:pStyle w:val="Tabletext"/>
        <w:jc w:val="both"/>
        <w:rPr>
          <w:rFonts w:ascii="Lato" w:hAnsi="Lato" w:cs="Arial"/>
          <w:sz w:val="20"/>
        </w:rPr>
      </w:pPr>
      <w:r w:rsidRPr="00355A1B">
        <w:rPr>
          <w:rFonts w:ascii="Lato" w:hAnsi="Lato" w:cs="Arial"/>
          <w:sz w:val="20"/>
        </w:rPr>
        <w:t>UK, USA, Germany, Holland, Italy, France, Hungary, Japan, China, Korea, Thailand, Malaysia, Indonesia, India, Pakistan etc.</w:t>
      </w:r>
    </w:p>
    <w:p w14:paraId="60776656" w14:textId="77777777" w:rsidR="000F798E" w:rsidRPr="00355A1B" w:rsidRDefault="000F798E" w:rsidP="00F04B45">
      <w:pPr>
        <w:pStyle w:val="Head2"/>
        <w:rPr>
          <w:rFonts w:ascii="Lato" w:hAnsi="Lato" w:cs="Arial"/>
          <w:b/>
          <w:i w:val="0"/>
          <w:sz w:val="20"/>
          <w:szCs w:val="20"/>
          <w:u w:val="single"/>
        </w:rPr>
      </w:pPr>
      <w:r w:rsidRPr="00355A1B">
        <w:rPr>
          <w:rFonts w:ascii="Lato" w:hAnsi="Lato" w:cs="Arial"/>
          <w:b/>
          <w:i w:val="0"/>
          <w:sz w:val="20"/>
          <w:szCs w:val="20"/>
          <w:u w:val="single"/>
        </w:rPr>
        <w:t>Financing</w:t>
      </w:r>
    </w:p>
    <w:p w14:paraId="5F9DDFD6" w14:textId="77777777" w:rsidR="00FF23E4" w:rsidRPr="00355A1B" w:rsidRDefault="00FF23E4" w:rsidP="00F04B45">
      <w:pPr>
        <w:pStyle w:val="Tabletext"/>
        <w:jc w:val="both"/>
        <w:rPr>
          <w:rFonts w:ascii="Lato" w:hAnsi="Lato" w:cs="Arial"/>
          <w:sz w:val="20"/>
        </w:rPr>
      </w:pPr>
      <w:r w:rsidRPr="00355A1B">
        <w:rPr>
          <w:rFonts w:ascii="Lato" w:hAnsi="Lato" w:cs="Arial"/>
          <w:sz w:val="20"/>
        </w:rPr>
        <w:t>There have been no changes in the equity structure during 20</w:t>
      </w:r>
      <w:r w:rsidR="00BD430F" w:rsidRPr="00355A1B">
        <w:rPr>
          <w:rFonts w:ascii="Lato" w:hAnsi="Lato" w:cs="Arial"/>
          <w:sz w:val="20"/>
        </w:rPr>
        <w:t>14</w:t>
      </w:r>
      <w:r w:rsidRPr="00355A1B">
        <w:rPr>
          <w:rFonts w:ascii="Lato" w:hAnsi="Lato" w:cs="Arial"/>
          <w:sz w:val="20"/>
        </w:rPr>
        <w:t xml:space="preserve">. There are no planned changes in the capital structure or in the financing strategies.    </w:t>
      </w:r>
    </w:p>
    <w:p w14:paraId="46A0F27A" w14:textId="77777777" w:rsidR="00FF23E4" w:rsidRPr="00355A1B" w:rsidRDefault="00FF23E4" w:rsidP="00F04B45">
      <w:pPr>
        <w:pStyle w:val="Tabletext"/>
        <w:jc w:val="both"/>
        <w:rPr>
          <w:rFonts w:ascii="Lato" w:hAnsi="Lato" w:cs="Arial"/>
          <w:sz w:val="20"/>
        </w:rPr>
      </w:pPr>
      <w:r w:rsidRPr="00355A1B">
        <w:rPr>
          <w:rFonts w:ascii="Lato" w:hAnsi="Lato" w:cs="Arial"/>
          <w:sz w:val="20"/>
        </w:rPr>
        <w:t>The working capital is financed by overdraft f</w:t>
      </w:r>
      <w:r w:rsidR="00BD430F" w:rsidRPr="00355A1B">
        <w:rPr>
          <w:rFonts w:ascii="Lato" w:hAnsi="Lato" w:cs="Arial"/>
          <w:sz w:val="20"/>
        </w:rPr>
        <w:t>aciti</w:t>
      </w:r>
      <w:r w:rsidRPr="00355A1B">
        <w:rPr>
          <w:rFonts w:ascii="Lato" w:hAnsi="Lato" w:cs="Arial"/>
          <w:sz w:val="20"/>
        </w:rPr>
        <w:t>lities and short-term loans (secured) from four private commercial banks. The company is using overdraft f</w:t>
      </w:r>
      <w:r w:rsidR="00BD430F" w:rsidRPr="00355A1B">
        <w:rPr>
          <w:rFonts w:ascii="Lato" w:hAnsi="Lato" w:cs="Arial"/>
          <w:sz w:val="20"/>
        </w:rPr>
        <w:t>aci</w:t>
      </w:r>
      <w:r w:rsidRPr="00355A1B">
        <w:rPr>
          <w:rFonts w:ascii="Lato" w:hAnsi="Lato" w:cs="Arial"/>
          <w:sz w:val="20"/>
        </w:rPr>
        <w:t>lities offered by Standard Chartered Bank, Commercial bank of Ceylon Ltd., HSBC and Citibank N. A.,in the current year.</w:t>
      </w:r>
    </w:p>
    <w:p w14:paraId="27831514" w14:textId="77777777" w:rsidR="00DC003E" w:rsidRPr="00355A1B" w:rsidRDefault="00DC003E" w:rsidP="00F04B45">
      <w:pPr>
        <w:pStyle w:val="Tabletext"/>
        <w:spacing w:before="80" w:after="40"/>
        <w:jc w:val="both"/>
        <w:rPr>
          <w:rFonts w:ascii="Lato" w:hAnsi="Lato" w:cs="Arial"/>
          <w:b/>
          <w:i/>
          <w:sz w:val="20"/>
          <w:u w:val="single"/>
        </w:rPr>
      </w:pPr>
      <w:r w:rsidRPr="00355A1B">
        <w:rPr>
          <w:rFonts w:ascii="Lato" w:hAnsi="Lato" w:cs="Arial"/>
          <w:b/>
          <w:i/>
          <w:sz w:val="20"/>
          <w:u w:val="single"/>
        </w:rPr>
        <w:t>Employees</w:t>
      </w:r>
    </w:p>
    <w:p w14:paraId="6ACC632D" w14:textId="77777777" w:rsidR="00DC003E" w:rsidRPr="00355A1B" w:rsidRDefault="00DC003E" w:rsidP="00F04B45">
      <w:pPr>
        <w:pStyle w:val="Tabletext"/>
        <w:spacing w:after="60"/>
        <w:jc w:val="both"/>
        <w:rPr>
          <w:rFonts w:ascii="Lato" w:hAnsi="Lato" w:cs="Arial"/>
          <w:iCs/>
          <w:sz w:val="20"/>
        </w:rPr>
      </w:pPr>
      <w:r w:rsidRPr="00355A1B">
        <w:rPr>
          <w:rFonts w:ascii="Lato" w:hAnsi="Lato" w:cs="Arial"/>
          <w:iCs/>
          <w:sz w:val="20"/>
        </w:rPr>
        <w:t>There is a wide pool of suitably skilled labor available for workers in the factory.</w:t>
      </w:r>
    </w:p>
    <w:p w14:paraId="3E05970E" w14:textId="77777777" w:rsidR="00DC003E" w:rsidRPr="00355A1B" w:rsidRDefault="00DC003E" w:rsidP="00F04B45">
      <w:pPr>
        <w:pStyle w:val="Tabletext"/>
        <w:spacing w:after="60"/>
        <w:jc w:val="both"/>
        <w:rPr>
          <w:rFonts w:ascii="Lato" w:hAnsi="Lato" w:cs="Arial"/>
          <w:iCs/>
          <w:sz w:val="20"/>
        </w:rPr>
      </w:pPr>
      <w:r w:rsidRPr="00355A1B">
        <w:rPr>
          <w:rFonts w:ascii="Lato" w:hAnsi="Lato" w:cs="Arial"/>
          <w:iCs/>
          <w:sz w:val="20"/>
        </w:rPr>
        <w:t>Due to the high profile nature of the Company, many applications from suitable candidates are received for roles within senior management.</w:t>
      </w:r>
    </w:p>
    <w:p w14:paraId="7780C887" w14:textId="77777777" w:rsidR="00DC003E" w:rsidRPr="00355A1B" w:rsidRDefault="00DC003E" w:rsidP="00F04B45">
      <w:pPr>
        <w:pStyle w:val="Tabletext"/>
        <w:spacing w:after="60"/>
        <w:jc w:val="both"/>
        <w:rPr>
          <w:rFonts w:ascii="Lato" w:hAnsi="Lato" w:cs="Arial"/>
          <w:iCs/>
          <w:sz w:val="20"/>
        </w:rPr>
      </w:pPr>
      <w:r w:rsidRPr="00355A1B">
        <w:rPr>
          <w:rFonts w:ascii="Lato" w:hAnsi="Lato" w:cs="Arial"/>
          <w:iCs/>
          <w:sz w:val="20"/>
        </w:rPr>
        <w:t>Competitive remuneration packages have also ensured that sufficient, appropriately skilled people have applied for roles within sales, marketing and finance.</w:t>
      </w:r>
    </w:p>
    <w:p w14:paraId="2299D815" w14:textId="77777777" w:rsidR="00086C23" w:rsidRPr="00355A1B" w:rsidRDefault="00086C23" w:rsidP="00F04B45">
      <w:pPr>
        <w:pStyle w:val="Tabletext"/>
        <w:spacing w:after="60"/>
        <w:jc w:val="both"/>
        <w:rPr>
          <w:rFonts w:ascii="Lato" w:hAnsi="Lato" w:cs="Arial"/>
          <w:b/>
          <w:i/>
          <w:iCs/>
          <w:sz w:val="20"/>
        </w:rPr>
      </w:pPr>
      <w:r w:rsidRPr="00355A1B">
        <w:rPr>
          <w:rFonts w:ascii="Lato" w:hAnsi="Lato" w:cs="Arial"/>
          <w:b/>
          <w:i/>
          <w:iCs/>
          <w:sz w:val="20"/>
        </w:rPr>
        <w:t>Types of employees</w:t>
      </w:r>
    </w:p>
    <w:p w14:paraId="03036CFB" w14:textId="77777777" w:rsidR="00086C23" w:rsidRPr="00355A1B" w:rsidRDefault="00086C23" w:rsidP="00F04B45">
      <w:pPr>
        <w:pStyle w:val="Tabletext"/>
        <w:spacing w:after="60"/>
        <w:jc w:val="both"/>
        <w:rPr>
          <w:rFonts w:ascii="Lato" w:hAnsi="Lato" w:cs="Arial"/>
          <w:iCs/>
          <w:sz w:val="20"/>
        </w:rPr>
      </w:pPr>
      <w:r w:rsidRPr="00355A1B">
        <w:rPr>
          <w:rFonts w:ascii="Lato" w:hAnsi="Lato" w:cs="Arial"/>
          <w:iCs/>
          <w:sz w:val="20"/>
        </w:rPr>
        <w:t xml:space="preserve">There are two types of employees – </w:t>
      </w:r>
    </w:p>
    <w:p w14:paraId="35789A5F" w14:textId="77777777" w:rsidR="00086C23" w:rsidRPr="00355A1B" w:rsidRDefault="00086C23" w:rsidP="00F04B45">
      <w:pPr>
        <w:pStyle w:val="Tabletext"/>
        <w:numPr>
          <w:ilvl w:val="0"/>
          <w:numId w:val="10"/>
        </w:numPr>
        <w:spacing w:after="60"/>
        <w:jc w:val="both"/>
        <w:rPr>
          <w:rFonts w:ascii="Lato" w:hAnsi="Lato" w:cs="Arial"/>
          <w:iCs/>
          <w:sz w:val="20"/>
        </w:rPr>
      </w:pPr>
      <w:r w:rsidRPr="00355A1B">
        <w:rPr>
          <w:rFonts w:ascii="Lato" w:hAnsi="Lato" w:cs="Arial"/>
          <w:iCs/>
          <w:sz w:val="20"/>
        </w:rPr>
        <w:t>Permanent Staff</w:t>
      </w:r>
    </w:p>
    <w:p w14:paraId="6EC70966" w14:textId="77777777" w:rsidR="00086C23" w:rsidRPr="00355A1B" w:rsidRDefault="00086C23" w:rsidP="00F04B45">
      <w:pPr>
        <w:pStyle w:val="Tabletext"/>
        <w:numPr>
          <w:ilvl w:val="0"/>
          <w:numId w:val="10"/>
        </w:numPr>
        <w:spacing w:after="60"/>
        <w:jc w:val="both"/>
        <w:rPr>
          <w:rFonts w:ascii="Lato" w:hAnsi="Lato" w:cs="Arial"/>
          <w:iCs/>
          <w:sz w:val="20"/>
        </w:rPr>
      </w:pPr>
      <w:r w:rsidRPr="00355A1B">
        <w:rPr>
          <w:rFonts w:ascii="Lato" w:hAnsi="Lato" w:cs="Arial"/>
          <w:iCs/>
          <w:sz w:val="20"/>
        </w:rPr>
        <w:t>Contractual Staff</w:t>
      </w:r>
    </w:p>
    <w:p w14:paraId="64C08B8F" w14:textId="77777777" w:rsidR="00086C23" w:rsidRPr="00355A1B" w:rsidRDefault="00F04B45" w:rsidP="00F04B45">
      <w:pPr>
        <w:pStyle w:val="Tabletext"/>
        <w:spacing w:before="80" w:after="40"/>
        <w:jc w:val="both"/>
        <w:rPr>
          <w:rFonts w:ascii="Lato" w:hAnsi="Lato" w:cs="Arial"/>
          <w:sz w:val="20"/>
        </w:rPr>
      </w:pPr>
      <w:r w:rsidRPr="00355A1B">
        <w:rPr>
          <w:rFonts w:ascii="Lato" w:hAnsi="Lato" w:cs="Arial"/>
          <w:sz w:val="20"/>
        </w:rPr>
        <w:t>The company provides following benefits to its permanent employees as per Labour law/as per company policy:</w:t>
      </w:r>
    </w:p>
    <w:p w14:paraId="49B6D061" w14:textId="77777777" w:rsidR="00086C23" w:rsidRPr="00355A1B" w:rsidRDefault="00F04B45" w:rsidP="00F04B45">
      <w:pPr>
        <w:pStyle w:val="Tabletext"/>
        <w:numPr>
          <w:ilvl w:val="0"/>
          <w:numId w:val="37"/>
        </w:numPr>
        <w:spacing w:after="60"/>
        <w:jc w:val="both"/>
        <w:rPr>
          <w:rFonts w:ascii="Lato" w:hAnsi="Lato" w:cs="Arial"/>
          <w:iCs/>
          <w:sz w:val="20"/>
        </w:rPr>
      </w:pPr>
      <w:r w:rsidRPr="00355A1B">
        <w:rPr>
          <w:rFonts w:ascii="Lato" w:hAnsi="Lato" w:cs="Arial"/>
          <w:iCs/>
          <w:sz w:val="20"/>
        </w:rPr>
        <w:t>Bonus and Incentives</w:t>
      </w:r>
    </w:p>
    <w:p w14:paraId="0564F481" w14:textId="77777777" w:rsidR="003C7879" w:rsidRPr="00355A1B" w:rsidRDefault="003C7879" w:rsidP="00F04B45">
      <w:pPr>
        <w:pStyle w:val="Tabletext"/>
        <w:numPr>
          <w:ilvl w:val="0"/>
          <w:numId w:val="37"/>
        </w:numPr>
        <w:spacing w:after="60"/>
        <w:jc w:val="both"/>
        <w:rPr>
          <w:rFonts w:ascii="Lato" w:hAnsi="Lato" w:cs="Arial"/>
          <w:sz w:val="20"/>
        </w:rPr>
      </w:pPr>
      <w:r w:rsidRPr="00355A1B">
        <w:rPr>
          <w:rFonts w:ascii="Lato" w:hAnsi="Lato" w:cs="Arial"/>
          <w:sz w:val="20"/>
        </w:rPr>
        <w:t>WPPF:</w:t>
      </w:r>
    </w:p>
    <w:p w14:paraId="0D04B57C" w14:textId="77777777" w:rsidR="003C7879" w:rsidRPr="00355A1B" w:rsidRDefault="003C7879" w:rsidP="00F04B45">
      <w:pPr>
        <w:pStyle w:val="Tabletext"/>
        <w:numPr>
          <w:ilvl w:val="0"/>
          <w:numId w:val="37"/>
        </w:numPr>
        <w:spacing w:before="0" w:after="60"/>
        <w:jc w:val="both"/>
        <w:rPr>
          <w:rFonts w:ascii="Lato" w:hAnsi="Lato" w:cs="Arial"/>
          <w:sz w:val="20"/>
        </w:rPr>
      </w:pPr>
      <w:r w:rsidRPr="00355A1B">
        <w:rPr>
          <w:rFonts w:ascii="Lato" w:hAnsi="Lato" w:cs="Arial"/>
          <w:sz w:val="20"/>
        </w:rPr>
        <w:t>Contributory staff provident fund:</w:t>
      </w:r>
    </w:p>
    <w:p w14:paraId="08B30781" w14:textId="77777777" w:rsidR="003C7879" w:rsidRPr="00355A1B" w:rsidRDefault="003C7879" w:rsidP="00F04B45">
      <w:pPr>
        <w:pStyle w:val="ListParagraph"/>
        <w:numPr>
          <w:ilvl w:val="0"/>
          <w:numId w:val="37"/>
        </w:numPr>
        <w:tabs>
          <w:tab w:val="left" w:pos="-1440"/>
          <w:tab w:val="left" w:pos="-720"/>
          <w:tab w:val="left" w:pos="0"/>
          <w:tab w:val="left" w:pos="720"/>
          <w:tab w:val="left" w:pos="1440"/>
          <w:tab w:val="left" w:pos="2160"/>
          <w:tab w:val="left" w:pos="2880"/>
          <w:tab w:val="left" w:pos="6741"/>
        </w:tabs>
        <w:suppressAutoHyphens/>
        <w:jc w:val="both"/>
        <w:rPr>
          <w:rFonts w:ascii="Lato" w:hAnsi="Lato" w:cs="Arial"/>
          <w:bCs/>
          <w:spacing w:val="-2"/>
        </w:rPr>
      </w:pPr>
      <w:r w:rsidRPr="00355A1B">
        <w:rPr>
          <w:rFonts w:ascii="Lato" w:hAnsi="Lato" w:cs="Arial"/>
          <w:bCs/>
          <w:spacing w:val="-2"/>
        </w:rPr>
        <w:t>Gratuity</w:t>
      </w:r>
    </w:p>
    <w:p w14:paraId="57338ED8" w14:textId="77777777" w:rsidR="003C7879" w:rsidRPr="00355A1B" w:rsidRDefault="003C7879" w:rsidP="00F04B45">
      <w:pPr>
        <w:pStyle w:val="ListParagraph"/>
        <w:numPr>
          <w:ilvl w:val="0"/>
          <w:numId w:val="37"/>
        </w:numPr>
        <w:tabs>
          <w:tab w:val="left" w:pos="-1440"/>
          <w:tab w:val="left" w:pos="-720"/>
          <w:tab w:val="left" w:pos="0"/>
          <w:tab w:val="left" w:pos="720"/>
          <w:tab w:val="left" w:pos="1440"/>
          <w:tab w:val="left" w:pos="2160"/>
          <w:tab w:val="left" w:pos="2880"/>
          <w:tab w:val="left" w:pos="6741"/>
        </w:tabs>
        <w:suppressAutoHyphens/>
        <w:jc w:val="both"/>
        <w:rPr>
          <w:rFonts w:ascii="Lato" w:hAnsi="Lato" w:cs="Arial"/>
          <w:spacing w:val="-2"/>
        </w:rPr>
      </w:pPr>
      <w:r w:rsidRPr="00355A1B">
        <w:rPr>
          <w:rFonts w:ascii="Lato" w:hAnsi="Lato" w:cs="Arial"/>
          <w:spacing w:val="-2"/>
        </w:rPr>
        <w:t>Pension</w:t>
      </w:r>
    </w:p>
    <w:p w14:paraId="6FFBCA09" w14:textId="77777777" w:rsidR="003C7879" w:rsidRPr="00355A1B" w:rsidRDefault="003C7879" w:rsidP="00F04B45">
      <w:pPr>
        <w:tabs>
          <w:tab w:val="left" w:pos="-1440"/>
          <w:tab w:val="left" w:pos="-720"/>
          <w:tab w:val="left" w:pos="0"/>
          <w:tab w:val="left" w:pos="720"/>
          <w:tab w:val="left" w:pos="1440"/>
          <w:tab w:val="left" w:pos="2160"/>
          <w:tab w:val="left" w:pos="2880"/>
          <w:tab w:val="left" w:pos="6741"/>
        </w:tabs>
        <w:suppressAutoHyphens/>
        <w:jc w:val="both"/>
        <w:rPr>
          <w:rFonts w:ascii="Lato" w:hAnsi="Lato" w:cs="Arial"/>
          <w:b/>
          <w:i/>
          <w:spacing w:val="-2"/>
        </w:rPr>
      </w:pPr>
    </w:p>
    <w:p w14:paraId="2982A5BF" w14:textId="77777777" w:rsidR="00B8500C" w:rsidRPr="00355A1B" w:rsidRDefault="00B8500C" w:rsidP="00F04B45">
      <w:pPr>
        <w:pStyle w:val="Head2bold"/>
        <w:jc w:val="both"/>
        <w:rPr>
          <w:rFonts w:ascii="Lato" w:hAnsi="Lato" w:cs="Arial"/>
          <w:sz w:val="20"/>
          <w:szCs w:val="20"/>
          <w:u w:val="single"/>
        </w:rPr>
      </w:pPr>
      <w:r w:rsidRPr="00355A1B">
        <w:rPr>
          <w:rFonts w:ascii="Lato" w:hAnsi="Lato" w:cs="Arial"/>
          <w:sz w:val="20"/>
          <w:szCs w:val="20"/>
          <w:u w:val="single"/>
        </w:rPr>
        <w:t>The entity’s industry and environment</w:t>
      </w:r>
    </w:p>
    <w:p w14:paraId="141D4836" w14:textId="77777777" w:rsidR="00330A4B" w:rsidRPr="00355A1B" w:rsidRDefault="00330A4B" w:rsidP="00F04B45">
      <w:pPr>
        <w:pStyle w:val="Text"/>
        <w:jc w:val="both"/>
        <w:rPr>
          <w:rFonts w:ascii="Lato" w:hAnsi="Lato" w:cs="Arial"/>
          <w:sz w:val="20"/>
        </w:rPr>
      </w:pPr>
      <w:r w:rsidRPr="00355A1B">
        <w:rPr>
          <w:rFonts w:ascii="Lato" w:hAnsi="Lato" w:cs="Arial"/>
          <w:sz w:val="20"/>
        </w:rPr>
        <w:lastRenderedPageBreak/>
        <w:t>The domestic market is highly concentrated and competitive. The local manufacturers dominate the industry capturing market share of 90%. While the multinationals cater to the remaining demand. According to IMS</w:t>
      </w:r>
      <w:r w:rsidR="00F04B45" w:rsidRPr="00355A1B">
        <w:rPr>
          <w:rFonts w:ascii="Lato" w:hAnsi="Lato" w:cs="Arial"/>
          <w:sz w:val="20"/>
        </w:rPr>
        <w:t xml:space="preserve"> (</w:t>
      </w:r>
      <w:r w:rsidR="00BC0FD5" w:rsidRPr="00355A1B">
        <w:rPr>
          <w:rFonts w:ascii="Lato" w:hAnsi="Lato" w:cs="Arial"/>
          <w:sz w:val="20"/>
        </w:rPr>
        <w:t xml:space="preserve">intercontinental </w:t>
      </w:r>
      <w:proofErr w:type="gramStart"/>
      <w:r w:rsidR="00BC0FD5" w:rsidRPr="00355A1B">
        <w:rPr>
          <w:rFonts w:ascii="Lato" w:hAnsi="Lato" w:cs="Arial"/>
          <w:sz w:val="20"/>
        </w:rPr>
        <w:t>Medical</w:t>
      </w:r>
      <w:proofErr w:type="gramEnd"/>
      <w:r w:rsidR="00BC0FD5" w:rsidRPr="00355A1B">
        <w:rPr>
          <w:rFonts w:ascii="Lato" w:hAnsi="Lato" w:cs="Arial"/>
          <w:sz w:val="20"/>
        </w:rPr>
        <w:t xml:space="preserve"> statistics)</w:t>
      </w:r>
      <w:r w:rsidRPr="00355A1B">
        <w:rPr>
          <w:rFonts w:ascii="Lato" w:hAnsi="Lato" w:cs="Arial"/>
          <w:sz w:val="20"/>
        </w:rPr>
        <w:t xml:space="preserve"> Health, the top 10 companies hold 68.5% market share, the top 20 hold 85.73%, and the top 31 hold 94.1%, while the remaining 169 companies shared 5.9% among </w:t>
      </w:r>
      <w:r w:rsidR="00BC0FD5" w:rsidRPr="00355A1B">
        <w:rPr>
          <w:rFonts w:ascii="Lato" w:hAnsi="Lato" w:cs="Arial"/>
          <w:sz w:val="20"/>
        </w:rPr>
        <w:t>them. Square</w:t>
      </w:r>
      <w:r w:rsidRPr="00355A1B">
        <w:rPr>
          <w:rFonts w:ascii="Lato" w:hAnsi="Lato" w:cs="Arial"/>
          <w:sz w:val="20"/>
        </w:rPr>
        <w:t xml:space="preserve"> Pharmaceuticals led the indus</w:t>
      </w:r>
      <w:r w:rsidR="00D21AB7" w:rsidRPr="00355A1B">
        <w:rPr>
          <w:rFonts w:ascii="Lato" w:hAnsi="Lato" w:cs="Arial"/>
          <w:sz w:val="20"/>
        </w:rPr>
        <w:t>try with a market share of 18.7</w:t>
      </w:r>
      <w:r w:rsidRPr="00355A1B">
        <w:rPr>
          <w:rFonts w:ascii="Lato" w:hAnsi="Lato" w:cs="Arial"/>
          <w:sz w:val="20"/>
        </w:rPr>
        <w:t xml:space="preserve">%. </w:t>
      </w:r>
      <w:proofErr w:type="spellStart"/>
      <w:r w:rsidRPr="00355A1B">
        <w:rPr>
          <w:rFonts w:ascii="Lato" w:hAnsi="Lato" w:cs="Arial"/>
          <w:sz w:val="20"/>
        </w:rPr>
        <w:t>Incepta</w:t>
      </w:r>
      <w:proofErr w:type="spellEnd"/>
      <w:r w:rsidRPr="00355A1B">
        <w:rPr>
          <w:rFonts w:ascii="Lato" w:hAnsi="Lato" w:cs="Arial"/>
          <w:sz w:val="20"/>
        </w:rPr>
        <w:t xml:space="preserve"> and </w:t>
      </w:r>
      <w:proofErr w:type="spellStart"/>
      <w:r w:rsidRPr="00355A1B">
        <w:rPr>
          <w:rFonts w:ascii="Lato" w:hAnsi="Lato" w:cs="Arial"/>
          <w:sz w:val="20"/>
        </w:rPr>
        <w:t>Beximco</w:t>
      </w:r>
      <w:proofErr w:type="spellEnd"/>
      <w:r w:rsidRPr="00355A1B">
        <w:rPr>
          <w:rFonts w:ascii="Lato" w:hAnsi="Lato" w:cs="Arial"/>
          <w:sz w:val="20"/>
        </w:rPr>
        <w:t xml:space="preserve"> took 2nd</w:t>
      </w:r>
      <w:r w:rsidR="00BC0FD5" w:rsidRPr="00355A1B">
        <w:rPr>
          <w:rFonts w:ascii="Lato" w:hAnsi="Lato" w:cs="Arial"/>
          <w:sz w:val="20"/>
        </w:rPr>
        <w:t> and</w:t>
      </w:r>
      <w:r w:rsidRPr="00355A1B">
        <w:rPr>
          <w:rFonts w:ascii="Lato" w:hAnsi="Lato" w:cs="Arial"/>
          <w:sz w:val="20"/>
        </w:rPr>
        <w:t xml:space="preserve"> 3rd positions with market shares of 10.42% and 8.47% respectively.</w:t>
      </w:r>
    </w:p>
    <w:p w14:paraId="4267FF75" w14:textId="77777777" w:rsidR="009905EC" w:rsidRPr="00355A1B" w:rsidRDefault="009905EC" w:rsidP="00F04B45">
      <w:pPr>
        <w:pStyle w:val="Text"/>
        <w:jc w:val="both"/>
        <w:rPr>
          <w:rFonts w:ascii="Lato" w:hAnsi="Lato" w:cs="Arial"/>
          <w:sz w:val="20"/>
        </w:rPr>
      </w:pPr>
      <w:r w:rsidRPr="00355A1B">
        <w:rPr>
          <w:rFonts w:ascii="Lato" w:hAnsi="Lato" w:cs="Arial"/>
          <w:sz w:val="20"/>
        </w:rPr>
        <w:t>The domestic market Industrial/</w:t>
      </w:r>
      <w:proofErr w:type="spellStart"/>
      <w:r w:rsidRPr="00355A1B">
        <w:rPr>
          <w:rFonts w:ascii="Lato" w:hAnsi="Lato" w:cs="Arial"/>
          <w:sz w:val="20"/>
        </w:rPr>
        <w:t>Mfg</w:t>
      </w:r>
      <w:proofErr w:type="spellEnd"/>
      <w:r w:rsidRPr="00355A1B">
        <w:rPr>
          <w:rFonts w:ascii="Lato" w:hAnsi="Lato" w:cs="Arial"/>
          <w:sz w:val="20"/>
        </w:rPr>
        <w:t xml:space="preserve"> growth r</w:t>
      </w:r>
      <w:r w:rsidR="00DC003E" w:rsidRPr="00355A1B">
        <w:rPr>
          <w:rFonts w:ascii="Lato" w:hAnsi="Lato" w:cs="Arial"/>
          <w:sz w:val="20"/>
        </w:rPr>
        <w:t>ate (</w:t>
      </w:r>
      <w:r w:rsidR="00502A9D" w:rsidRPr="00355A1B">
        <w:rPr>
          <w:rFonts w:ascii="Lato" w:hAnsi="Lato" w:cs="Arial"/>
          <w:sz w:val="20"/>
        </w:rPr>
        <w:t>6</w:t>
      </w:r>
      <w:r w:rsidR="00DC003E" w:rsidRPr="00355A1B">
        <w:rPr>
          <w:rFonts w:ascii="Lato" w:hAnsi="Lato" w:cs="Arial"/>
          <w:sz w:val="20"/>
        </w:rPr>
        <w:t>% of</w:t>
      </w:r>
      <w:r w:rsidR="00B26199" w:rsidRPr="00355A1B">
        <w:rPr>
          <w:rFonts w:ascii="Lato" w:hAnsi="Lato" w:cs="Arial"/>
          <w:sz w:val="20"/>
        </w:rPr>
        <w:t xml:space="preserve"> GDP) is XXX</w:t>
      </w:r>
      <w:r w:rsidR="00DC003E" w:rsidRPr="00355A1B">
        <w:rPr>
          <w:rFonts w:ascii="Lato" w:hAnsi="Lato" w:cs="Arial"/>
          <w:sz w:val="20"/>
        </w:rPr>
        <w:t xml:space="preserve"> in 2014</w:t>
      </w:r>
      <w:r w:rsidRPr="00355A1B">
        <w:rPr>
          <w:rFonts w:ascii="Lato" w:hAnsi="Lato" w:cs="Arial"/>
          <w:sz w:val="20"/>
        </w:rPr>
        <w:t xml:space="preserve">. At present there are </w:t>
      </w:r>
      <w:r w:rsidR="00B26199" w:rsidRPr="00355A1B">
        <w:rPr>
          <w:rFonts w:ascii="Lato" w:hAnsi="Lato" w:cs="Arial"/>
          <w:sz w:val="20"/>
        </w:rPr>
        <w:t>XXX</w:t>
      </w:r>
      <w:r w:rsidRPr="00355A1B">
        <w:rPr>
          <w:rFonts w:ascii="Lato" w:hAnsi="Lato" w:cs="Arial"/>
          <w:sz w:val="20"/>
        </w:rPr>
        <w:t xml:space="preserve"> listed Pharmaceuticals &amp; Chemicals companies operating in Bangladesh.</w:t>
      </w:r>
      <w:r w:rsidR="00627F11" w:rsidRPr="00355A1B">
        <w:rPr>
          <w:rFonts w:ascii="Lato" w:hAnsi="Lato" w:cs="Arial"/>
          <w:sz w:val="20"/>
        </w:rPr>
        <w:t xml:space="preserve"> Market share analysis of local pharmaceuticals</w:t>
      </w:r>
      <w:r w:rsidR="00C4055E" w:rsidRPr="00355A1B">
        <w:rPr>
          <w:rFonts w:ascii="Lato" w:hAnsi="Lato" w:cs="Arial"/>
          <w:sz w:val="20"/>
        </w:rPr>
        <w:t xml:space="preserve"> companies in Bangladesh are given below:</w:t>
      </w:r>
      <w:r w:rsidR="00627F11" w:rsidRPr="00355A1B">
        <w:rPr>
          <w:rFonts w:ascii="Lato" w:hAnsi="Lato" w:cs="Arial"/>
          <w:sz w:val="20"/>
        </w:rPr>
        <w:t xml:space="preserve"> </w:t>
      </w:r>
    </w:p>
    <w:p w14:paraId="2ABFFC0E" w14:textId="77777777" w:rsidR="00685B14" w:rsidRPr="00355A1B" w:rsidRDefault="00685B14" w:rsidP="00F04B45">
      <w:pPr>
        <w:pStyle w:val="Head2"/>
        <w:rPr>
          <w:rFonts w:ascii="Lato" w:hAnsi="Lato" w:cs="Arial"/>
          <w:b/>
          <w:sz w:val="20"/>
          <w:szCs w:val="20"/>
          <w:u w:val="single"/>
        </w:rPr>
      </w:pPr>
      <w:r w:rsidRPr="00355A1B">
        <w:rPr>
          <w:rFonts w:ascii="Lato" w:hAnsi="Lato" w:cs="Arial"/>
          <w:b/>
          <w:sz w:val="20"/>
          <w:szCs w:val="20"/>
          <w:u w:val="single"/>
        </w:rPr>
        <w:t>Economic, political and social environment</w:t>
      </w:r>
    </w:p>
    <w:p w14:paraId="223562AE" w14:textId="77777777" w:rsidR="00FF23E4" w:rsidRPr="00355A1B" w:rsidRDefault="00FF23E4" w:rsidP="00F04B45">
      <w:pPr>
        <w:pStyle w:val="Text"/>
        <w:jc w:val="both"/>
        <w:rPr>
          <w:rFonts w:ascii="Lato" w:hAnsi="Lato" w:cs="Arial"/>
          <w:b/>
          <w:bCs/>
          <w:sz w:val="20"/>
        </w:rPr>
      </w:pPr>
      <w:r w:rsidRPr="00355A1B">
        <w:rPr>
          <w:rFonts w:ascii="Lato" w:hAnsi="Lato" w:cs="Arial"/>
          <w:b/>
          <w:bCs/>
          <w:sz w:val="20"/>
        </w:rPr>
        <w:t>Economic</w:t>
      </w:r>
    </w:p>
    <w:p w14:paraId="75176C86" w14:textId="77777777" w:rsidR="00FF23E4" w:rsidRPr="00355A1B" w:rsidRDefault="00FF23E4" w:rsidP="008F33B6">
      <w:pPr>
        <w:pStyle w:val="Text"/>
        <w:spacing w:before="0"/>
        <w:jc w:val="both"/>
        <w:rPr>
          <w:rFonts w:ascii="Lato" w:hAnsi="Lato" w:cs="Arial"/>
          <w:sz w:val="20"/>
          <w:highlight w:val="magenta"/>
        </w:rPr>
      </w:pPr>
      <w:r w:rsidRPr="00355A1B">
        <w:rPr>
          <w:rFonts w:ascii="Lato" w:hAnsi="Lato" w:cs="Arial"/>
          <w:sz w:val="20"/>
        </w:rPr>
        <w:t>The economy is mainly market based, but the Government still plays a significant role. The Government is trying to improve the climate for foreign investors and liberalizing the capital markets.</w:t>
      </w:r>
      <w:r w:rsidRPr="00355A1B">
        <w:rPr>
          <w:rFonts w:ascii="Lato" w:hAnsi="Lato" w:cs="Arial"/>
          <w:sz w:val="20"/>
          <w:highlight w:val="magenta"/>
        </w:rPr>
        <w:t xml:space="preserve"> </w:t>
      </w:r>
      <w:r w:rsidRPr="00355A1B">
        <w:rPr>
          <w:rFonts w:ascii="Lato" w:hAnsi="Lato" w:cs="Arial"/>
          <w:sz w:val="20"/>
        </w:rPr>
        <w:t xml:space="preserve">A growth </w:t>
      </w:r>
      <w:r w:rsidR="002F7730" w:rsidRPr="00355A1B">
        <w:rPr>
          <w:rFonts w:ascii="Lato" w:hAnsi="Lato" w:cs="Arial"/>
          <w:sz w:val="20"/>
        </w:rPr>
        <w:t>of 6</w:t>
      </w:r>
      <w:r w:rsidRPr="00355A1B">
        <w:rPr>
          <w:rFonts w:ascii="Lato" w:hAnsi="Lato" w:cs="Arial"/>
          <w:sz w:val="20"/>
        </w:rPr>
        <w:t>%-6.5% is projected and inflation rate would be between 7.5% to 8.5%</w:t>
      </w:r>
      <w:r w:rsidR="008F33B6" w:rsidRPr="00355A1B">
        <w:rPr>
          <w:rFonts w:ascii="Lato" w:hAnsi="Lato" w:cs="Arial"/>
          <w:sz w:val="20"/>
        </w:rPr>
        <w:t xml:space="preserve">. </w:t>
      </w:r>
      <w:r w:rsidRPr="00355A1B">
        <w:rPr>
          <w:rFonts w:ascii="Lato" w:hAnsi="Lato" w:cs="Arial"/>
          <w:sz w:val="20"/>
        </w:rPr>
        <w:t>There have been no significant changes in the tax regulations in the year. The taxation regime does not provide any significant new challenge to the company.</w:t>
      </w:r>
    </w:p>
    <w:p w14:paraId="1EAB3D2E" w14:textId="77777777" w:rsidR="00FF23E4" w:rsidRPr="00355A1B" w:rsidRDefault="00FF23E4" w:rsidP="00F04B45">
      <w:pPr>
        <w:pStyle w:val="Text"/>
        <w:jc w:val="both"/>
        <w:rPr>
          <w:rFonts w:ascii="Lato" w:hAnsi="Lato" w:cs="Arial"/>
          <w:b/>
          <w:bCs/>
          <w:sz w:val="20"/>
        </w:rPr>
      </w:pPr>
      <w:r w:rsidRPr="00355A1B">
        <w:rPr>
          <w:rFonts w:ascii="Lato" w:hAnsi="Lato" w:cs="Arial"/>
          <w:b/>
          <w:bCs/>
          <w:sz w:val="20"/>
        </w:rPr>
        <w:t>Political</w:t>
      </w:r>
    </w:p>
    <w:p w14:paraId="2A56C1CA" w14:textId="77777777" w:rsidR="00FF23E4" w:rsidRPr="00355A1B" w:rsidRDefault="007A7EC4" w:rsidP="008F33B6">
      <w:pPr>
        <w:pStyle w:val="Text"/>
        <w:spacing w:before="0"/>
        <w:jc w:val="both"/>
        <w:rPr>
          <w:rFonts w:ascii="Lato" w:hAnsi="Lato" w:cs="Arial"/>
          <w:sz w:val="20"/>
        </w:rPr>
      </w:pPr>
      <w:r w:rsidRPr="00355A1B">
        <w:rPr>
          <w:rFonts w:ascii="Lato" w:hAnsi="Lato" w:cs="Arial"/>
          <w:sz w:val="20"/>
        </w:rPr>
        <w:t xml:space="preserve">Though the country </w:t>
      </w:r>
      <w:r w:rsidR="003A73E2" w:rsidRPr="00355A1B">
        <w:rPr>
          <w:rFonts w:ascii="Lato" w:hAnsi="Lato" w:cs="Arial"/>
          <w:sz w:val="20"/>
        </w:rPr>
        <w:t>is has</w:t>
      </w:r>
      <w:r w:rsidRPr="00355A1B">
        <w:rPr>
          <w:rFonts w:ascii="Lato" w:hAnsi="Lato" w:cs="Arial"/>
          <w:sz w:val="20"/>
        </w:rPr>
        <w:t xml:space="preserve"> stable </w:t>
      </w:r>
      <w:r w:rsidR="00FF23E4" w:rsidRPr="00355A1B">
        <w:rPr>
          <w:rFonts w:ascii="Lato" w:hAnsi="Lato" w:cs="Arial"/>
          <w:sz w:val="20"/>
        </w:rPr>
        <w:t xml:space="preserve">political </w:t>
      </w:r>
      <w:r w:rsidR="00925BD4" w:rsidRPr="00355A1B">
        <w:rPr>
          <w:rFonts w:ascii="Lato" w:hAnsi="Lato" w:cs="Arial"/>
          <w:sz w:val="20"/>
        </w:rPr>
        <w:t xml:space="preserve">govt </w:t>
      </w:r>
      <w:proofErr w:type="gramStart"/>
      <w:r w:rsidR="00925BD4" w:rsidRPr="00355A1B">
        <w:rPr>
          <w:rFonts w:ascii="Lato" w:hAnsi="Lato" w:cs="Arial"/>
          <w:sz w:val="20"/>
        </w:rPr>
        <w:t xml:space="preserve">elected </w:t>
      </w:r>
      <w:r w:rsidR="00FF23E4" w:rsidRPr="00355A1B">
        <w:rPr>
          <w:rFonts w:ascii="Lato" w:hAnsi="Lato" w:cs="Arial"/>
          <w:sz w:val="20"/>
        </w:rPr>
        <w:t xml:space="preserve"> of</w:t>
      </w:r>
      <w:proofErr w:type="gramEnd"/>
      <w:r w:rsidR="00FF23E4" w:rsidRPr="00355A1B">
        <w:rPr>
          <w:rFonts w:ascii="Lato" w:hAnsi="Lato" w:cs="Arial"/>
          <w:sz w:val="20"/>
        </w:rPr>
        <w:t xml:space="preserve"> major political parties and attempt for overruling corruption by the current government is the motivation for greater investment in established fair businesses. There is no such political issue that may adversely impact the operation of </w:t>
      </w:r>
      <w:r w:rsidR="00B53AF3" w:rsidRPr="00355A1B">
        <w:rPr>
          <w:rFonts w:ascii="Lato" w:hAnsi="Lato" w:cs="Arial"/>
          <w:sz w:val="20"/>
        </w:rPr>
        <w:t>XYZ LTD</w:t>
      </w:r>
      <w:r w:rsidR="00FF23E4" w:rsidRPr="00355A1B">
        <w:rPr>
          <w:rFonts w:ascii="Lato" w:hAnsi="Lato" w:cs="Arial"/>
          <w:sz w:val="20"/>
        </w:rPr>
        <w:t xml:space="preserve"> Limited. However, uncertainty growing in anticipation of political instability regarding due national election issue remains a worry.</w:t>
      </w:r>
    </w:p>
    <w:p w14:paraId="5D551F13" w14:textId="77777777" w:rsidR="008F33B6" w:rsidRPr="00355A1B" w:rsidRDefault="00FF23E4" w:rsidP="00F04B45">
      <w:pPr>
        <w:pStyle w:val="Text"/>
        <w:jc w:val="both"/>
        <w:rPr>
          <w:rFonts w:ascii="Lato" w:hAnsi="Lato" w:cs="Arial"/>
          <w:b/>
          <w:bCs/>
          <w:sz w:val="20"/>
        </w:rPr>
      </w:pPr>
      <w:r w:rsidRPr="00355A1B">
        <w:rPr>
          <w:rFonts w:ascii="Lato" w:hAnsi="Lato" w:cs="Arial"/>
          <w:b/>
          <w:bCs/>
          <w:sz w:val="20"/>
        </w:rPr>
        <w:t>Social</w:t>
      </w:r>
    </w:p>
    <w:p w14:paraId="2595FAB0" w14:textId="77777777" w:rsidR="00FF23E4" w:rsidRPr="00355A1B" w:rsidRDefault="00FF23E4" w:rsidP="008F33B6">
      <w:pPr>
        <w:pStyle w:val="Text"/>
        <w:spacing w:before="0"/>
        <w:jc w:val="both"/>
        <w:rPr>
          <w:rFonts w:ascii="Lato" w:hAnsi="Lato" w:cs="Arial"/>
          <w:b/>
          <w:bCs/>
          <w:sz w:val="20"/>
        </w:rPr>
      </w:pPr>
      <w:r w:rsidRPr="00355A1B">
        <w:rPr>
          <w:rFonts w:ascii="Lato" w:hAnsi="Lato" w:cs="Arial"/>
          <w:sz w:val="20"/>
        </w:rPr>
        <w:t xml:space="preserve">The manufacturing processes do not generate any toxic or environmentally hazardous waste that cross the limit of any standard environmental parameter set for this industry. Moreover, the company has in place processes for safe waste disposal. </w:t>
      </w:r>
      <w:proofErr w:type="gramStart"/>
      <w:r w:rsidRPr="00355A1B">
        <w:rPr>
          <w:rFonts w:ascii="Lato" w:hAnsi="Lato" w:cs="Arial"/>
          <w:sz w:val="20"/>
        </w:rPr>
        <w:t>So</w:t>
      </w:r>
      <w:proofErr w:type="gramEnd"/>
      <w:r w:rsidRPr="00355A1B">
        <w:rPr>
          <w:rFonts w:ascii="Lato" w:hAnsi="Lato" w:cs="Arial"/>
          <w:sz w:val="20"/>
        </w:rPr>
        <w:t xml:space="preserve"> the risk of any toxic leak or spillage and the resultant social backlash is minimal. The establishment of its factory has brought with it greater employment opportunities for the local population. As a result, the social environment is on the whole favorable to the operation of the company.  Anyway, the company is very concerned about the safety, health and environmental (Refer to SHE policy of </w:t>
      </w:r>
      <w:r w:rsidR="00925BD4" w:rsidRPr="00355A1B">
        <w:rPr>
          <w:rFonts w:ascii="Lato" w:hAnsi="Lato" w:cs="Arial"/>
          <w:sz w:val="20"/>
        </w:rPr>
        <w:t>XYZ</w:t>
      </w:r>
      <w:r w:rsidRPr="00355A1B">
        <w:rPr>
          <w:rFonts w:ascii="Lato" w:hAnsi="Lato" w:cs="Arial"/>
          <w:sz w:val="20"/>
        </w:rPr>
        <w:t>) considerations of the country.</w:t>
      </w:r>
      <w:r w:rsidRPr="00355A1B">
        <w:rPr>
          <w:rFonts w:ascii="Lato" w:hAnsi="Lato" w:cs="Arial"/>
          <w:sz w:val="20"/>
          <w:highlight w:val="magenta"/>
        </w:rPr>
        <w:t xml:space="preserve"> </w:t>
      </w:r>
    </w:p>
    <w:p w14:paraId="05BF032A" w14:textId="77777777" w:rsidR="00FF23E4" w:rsidRPr="00355A1B" w:rsidRDefault="00FF23E4" w:rsidP="00F04B45">
      <w:pPr>
        <w:spacing w:before="120" w:after="120"/>
        <w:jc w:val="both"/>
        <w:rPr>
          <w:rFonts w:ascii="Lato" w:hAnsi="Lato" w:cs="Arial"/>
          <w:bCs/>
        </w:rPr>
      </w:pPr>
      <w:r w:rsidRPr="00355A1B">
        <w:rPr>
          <w:rFonts w:ascii="Lato" w:hAnsi="Lato" w:cs="Arial"/>
        </w:rPr>
        <w:t>Considering the above factors, we have not identified any financial statement risk.</w:t>
      </w:r>
    </w:p>
    <w:p w14:paraId="0BE911D7" w14:textId="77777777" w:rsidR="00685B14" w:rsidRPr="00355A1B" w:rsidRDefault="00685B14" w:rsidP="00F04B45">
      <w:pPr>
        <w:pStyle w:val="Head2"/>
        <w:rPr>
          <w:rFonts w:ascii="Lato" w:hAnsi="Lato" w:cs="Arial"/>
          <w:b/>
          <w:sz w:val="20"/>
          <w:szCs w:val="20"/>
          <w:u w:val="single"/>
        </w:rPr>
      </w:pPr>
      <w:r w:rsidRPr="00355A1B">
        <w:rPr>
          <w:rFonts w:ascii="Lato" w:hAnsi="Lato" w:cs="Arial"/>
          <w:b/>
          <w:sz w:val="20"/>
          <w:szCs w:val="20"/>
          <w:u w:val="single"/>
        </w:rPr>
        <w:t>Legal and regulatory environment</w:t>
      </w:r>
    </w:p>
    <w:p w14:paraId="075E25B3" w14:textId="77777777" w:rsidR="00FA2909" w:rsidRPr="00355A1B" w:rsidRDefault="00FA2909" w:rsidP="00F04B45">
      <w:pPr>
        <w:pStyle w:val="Tabletext"/>
        <w:jc w:val="both"/>
        <w:rPr>
          <w:rFonts w:ascii="Lato" w:hAnsi="Lato" w:cs="Arial"/>
          <w:sz w:val="20"/>
        </w:rPr>
      </w:pPr>
      <w:r w:rsidRPr="00355A1B">
        <w:rPr>
          <w:rFonts w:ascii="Lato" w:hAnsi="Lato" w:cs="Arial"/>
          <w:sz w:val="20"/>
        </w:rPr>
        <w:t>The Companies Act 1994 provides the primary legal framework for the operation of the company. The principal regulatory authority with regard to corporate affairs is the Registrar of Joint Stock Companies (RJSC). As the company is public limited company and listed in stock exchange, it has to comply with the rules and regulations promulgated by Securities and Exchange Commission (SEC).</w:t>
      </w:r>
    </w:p>
    <w:p w14:paraId="41D8E72B" w14:textId="77777777" w:rsidR="00FA2909" w:rsidRPr="00355A1B" w:rsidRDefault="00FA2909" w:rsidP="00F04B45">
      <w:pPr>
        <w:spacing w:before="120" w:after="120"/>
        <w:jc w:val="both"/>
        <w:rPr>
          <w:rFonts w:ascii="Lato" w:hAnsi="Lato" w:cs="Arial"/>
        </w:rPr>
      </w:pPr>
      <w:r w:rsidRPr="00355A1B">
        <w:rPr>
          <w:rFonts w:ascii="Lato" w:hAnsi="Lato" w:cs="Arial"/>
        </w:rPr>
        <w:t>Other significant laws which form part of the company’s legal and regulatory framework are:</w:t>
      </w:r>
    </w:p>
    <w:p w14:paraId="39293DBB" w14:textId="77777777" w:rsidR="00A9403A" w:rsidRPr="00355A1B" w:rsidRDefault="00A9403A" w:rsidP="00F04B45">
      <w:pPr>
        <w:spacing w:before="120" w:after="120"/>
        <w:jc w:val="both"/>
        <w:rPr>
          <w:rFonts w:ascii="Lato" w:hAnsi="Lato"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2"/>
        <w:gridCol w:w="3421"/>
        <w:gridCol w:w="4443"/>
      </w:tblGrid>
      <w:tr w:rsidR="00FA2909" w:rsidRPr="00355A1B" w14:paraId="7C9A9990" w14:textId="77777777" w:rsidTr="00F04B45">
        <w:tc>
          <w:tcPr>
            <w:tcW w:w="894" w:type="pct"/>
          </w:tcPr>
          <w:p w14:paraId="7E31F1FE" w14:textId="77777777" w:rsidR="00FA2909" w:rsidRPr="00355A1B" w:rsidRDefault="00FA2909" w:rsidP="00F04B45">
            <w:pPr>
              <w:spacing w:before="120" w:after="120"/>
              <w:jc w:val="both"/>
              <w:rPr>
                <w:rFonts w:ascii="Lato" w:hAnsi="Lato" w:cs="Arial"/>
                <w:b/>
                <w:bCs/>
              </w:rPr>
            </w:pPr>
            <w:r w:rsidRPr="00355A1B">
              <w:rPr>
                <w:rFonts w:ascii="Lato" w:hAnsi="Lato" w:cs="Arial"/>
                <w:b/>
                <w:bCs/>
              </w:rPr>
              <w:t>Nature of legislation</w:t>
            </w:r>
          </w:p>
        </w:tc>
        <w:tc>
          <w:tcPr>
            <w:tcW w:w="1786" w:type="pct"/>
          </w:tcPr>
          <w:p w14:paraId="5D1D8CEA" w14:textId="77777777" w:rsidR="00FA2909" w:rsidRPr="00355A1B" w:rsidRDefault="00FA2909" w:rsidP="00F04B45">
            <w:pPr>
              <w:spacing w:before="120" w:after="120"/>
              <w:jc w:val="both"/>
              <w:rPr>
                <w:rFonts w:ascii="Lato" w:hAnsi="Lato" w:cs="Arial"/>
                <w:b/>
                <w:bCs/>
              </w:rPr>
            </w:pPr>
            <w:r w:rsidRPr="00355A1B">
              <w:rPr>
                <w:rFonts w:ascii="Lato" w:hAnsi="Lato" w:cs="Arial"/>
                <w:b/>
                <w:bCs/>
              </w:rPr>
              <w:t>Title</w:t>
            </w:r>
          </w:p>
        </w:tc>
        <w:tc>
          <w:tcPr>
            <w:tcW w:w="2320" w:type="pct"/>
          </w:tcPr>
          <w:p w14:paraId="51B3DFB9" w14:textId="77777777" w:rsidR="00FA2909" w:rsidRPr="00355A1B" w:rsidRDefault="00FA2909" w:rsidP="00F04B45">
            <w:pPr>
              <w:spacing w:before="120" w:after="120"/>
              <w:jc w:val="both"/>
              <w:rPr>
                <w:rFonts w:ascii="Lato" w:hAnsi="Lato" w:cs="Arial"/>
                <w:b/>
                <w:bCs/>
              </w:rPr>
            </w:pPr>
            <w:r w:rsidRPr="00355A1B">
              <w:rPr>
                <w:rFonts w:ascii="Lato" w:hAnsi="Lato" w:cs="Arial"/>
                <w:b/>
                <w:bCs/>
              </w:rPr>
              <w:t>Impact on operations</w:t>
            </w:r>
          </w:p>
        </w:tc>
      </w:tr>
      <w:tr w:rsidR="00FA2909" w:rsidRPr="00355A1B" w14:paraId="14818E0D" w14:textId="77777777" w:rsidTr="00F04B45">
        <w:tc>
          <w:tcPr>
            <w:tcW w:w="894" w:type="pct"/>
          </w:tcPr>
          <w:p w14:paraId="520235F4" w14:textId="77777777" w:rsidR="00FA2909" w:rsidRPr="00355A1B" w:rsidRDefault="00FA2909" w:rsidP="00F04B45">
            <w:pPr>
              <w:pStyle w:val="Client"/>
              <w:spacing w:before="120" w:after="120" w:line="240" w:lineRule="auto"/>
              <w:jc w:val="both"/>
              <w:rPr>
                <w:rFonts w:ascii="Lato" w:hAnsi="Lato" w:cs="Arial"/>
                <w:sz w:val="20"/>
                <w:highlight w:val="magenta"/>
              </w:rPr>
            </w:pPr>
            <w:r w:rsidRPr="00355A1B">
              <w:rPr>
                <w:rFonts w:ascii="Lato" w:hAnsi="Lato" w:cs="Arial"/>
                <w:sz w:val="20"/>
              </w:rPr>
              <w:lastRenderedPageBreak/>
              <w:t>Tax laws</w:t>
            </w:r>
          </w:p>
        </w:tc>
        <w:tc>
          <w:tcPr>
            <w:tcW w:w="1786" w:type="pct"/>
          </w:tcPr>
          <w:p w14:paraId="39DCA93C" w14:textId="77777777" w:rsidR="00FA2909" w:rsidRPr="00355A1B" w:rsidRDefault="00FA2909" w:rsidP="00F04B45">
            <w:pPr>
              <w:spacing w:before="120" w:after="120"/>
              <w:jc w:val="both"/>
              <w:rPr>
                <w:rFonts w:ascii="Lato" w:hAnsi="Lato" w:cs="Arial"/>
              </w:rPr>
            </w:pPr>
            <w:r w:rsidRPr="00355A1B">
              <w:rPr>
                <w:rFonts w:ascii="Lato" w:hAnsi="Lato" w:cs="Arial"/>
              </w:rPr>
              <w:t>The Income Tax Ordinance 1984 &amp; Income Tax Rules 1987</w:t>
            </w:r>
          </w:p>
          <w:p w14:paraId="6155233C" w14:textId="77777777" w:rsidR="00FA2909" w:rsidRPr="00355A1B" w:rsidRDefault="00F04B45" w:rsidP="00F04B45">
            <w:pPr>
              <w:pStyle w:val="Client"/>
              <w:spacing w:before="120" w:after="120" w:line="240" w:lineRule="auto"/>
              <w:jc w:val="both"/>
              <w:rPr>
                <w:rFonts w:ascii="Lato" w:hAnsi="Lato" w:cs="Arial"/>
                <w:sz w:val="20"/>
                <w:highlight w:val="magenta"/>
              </w:rPr>
            </w:pPr>
            <w:r w:rsidRPr="00355A1B">
              <w:rPr>
                <w:rFonts w:ascii="Lato" w:hAnsi="Lato" w:cs="Arial"/>
                <w:sz w:val="20"/>
              </w:rPr>
              <w:t>The VAT Act &amp; Rules 2012 &amp; 2016</w:t>
            </w:r>
          </w:p>
        </w:tc>
        <w:tc>
          <w:tcPr>
            <w:tcW w:w="2320" w:type="pct"/>
          </w:tcPr>
          <w:p w14:paraId="1A3596BB" w14:textId="77777777" w:rsidR="00F04B45" w:rsidRPr="00355A1B" w:rsidRDefault="00FA2909" w:rsidP="00F04B45">
            <w:pPr>
              <w:spacing w:before="120" w:after="120"/>
              <w:jc w:val="both"/>
              <w:rPr>
                <w:rFonts w:ascii="Lato" w:hAnsi="Lato" w:cs="Arial"/>
              </w:rPr>
            </w:pPr>
            <w:r w:rsidRPr="00355A1B">
              <w:rPr>
                <w:rFonts w:ascii="Lato" w:hAnsi="Lato" w:cs="Arial"/>
              </w:rPr>
              <w:t xml:space="preserve">The company is liable to pay tax @35% on taxable income. </w:t>
            </w:r>
          </w:p>
          <w:p w14:paraId="14E446EC" w14:textId="77777777" w:rsidR="00FA2909" w:rsidRPr="00355A1B" w:rsidRDefault="00FA2909" w:rsidP="00F04B45">
            <w:pPr>
              <w:spacing w:before="120" w:after="120"/>
              <w:jc w:val="both"/>
              <w:rPr>
                <w:rFonts w:ascii="Lato" w:hAnsi="Lato" w:cs="Arial"/>
                <w:highlight w:val="magenta"/>
              </w:rPr>
            </w:pPr>
            <w:r w:rsidRPr="00355A1B">
              <w:rPr>
                <w:rFonts w:ascii="Lato" w:hAnsi="Lato" w:cs="Arial"/>
              </w:rPr>
              <w:t>The company is also required to pay VAT @ 0% to 15% varied for its diverged business. VAT is a complex issue in this industry and the company has to comply with the strict laws, regulations, circulars issued by the VAT authority.</w:t>
            </w:r>
            <w:r w:rsidRPr="00355A1B">
              <w:rPr>
                <w:rFonts w:ascii="Lato" w:hAnsi="Lato" w:cs="Arial"/>
                <w:highlight w:val="magenta"/>
              </w:rPr>
              <w:t xml:space="preserve"> </w:t>
            </w:r>
          </w:p>
        </w:tc>
      </w:tr>
      <w:tr w:rsidR="00FA2909" w:rsidRPr="00355A1B" w14:paraId="2A6276D9" w14:textId="77777777" w:rsidTr="00F04B45">
        <w:tc>
          <w:tcPr>
            <w:tcW w:w="894" w:type="pct"/>
          </w:tcPr>
          <w:p w14:paraId="493332AF" w14:textId="77777777" w:rsidR="00FA2909" w:rsidRPr="00355A1B" w:rsidRDefault="00FA2909" w:rsidP="00F04B45">
            <w:pPr>
              <w:spacing w:before="120" w:after="120"/>
              <w:jc w:val="both"/>
              <w:rPr>
                <w:rFonts w:ascii="Lato" w:hAnsi="Lato" w:cs="Arial"/>
                <w:highlight w:val="magenta"/>
              </w:rPr>
            </w:pPr>
            <w:r w:rsidRPr="00355A1B">
              <w:rPr>
                <w:rFonts w:ascii="Lato" w:hAnsi="Lato" w:cs="Arial"/>
              </w:rPr>
              <w:t>Industrial &amp; Labor laws</w:t>
            </w:r>
          </w:p>
        </w:tc>
        <w:tc>
          <w:tcPr>
            <w:tcW w:w="1786" w:type="pct"/>
          </w:tcPr>
          <w:p w14:paraId="4C2C32A0" w14:textId="77777777" w:rsidR="00FA2909" w:rsidRPr="00355A1B" w:rsidRDefault="00FA2909" w:rsidP="00F04B45">
            <w:pPr>
              <w:pStyle w:val="Client"/>
              <w:spacing w:before="120" w:after="120" w:line="240" w:lineRule="auto"/>
              <w:jc w:val="both"/>
              <w:rPr>
                <w:rFonts w:ascii="Lato" w:hAnsi="Lato" w:cs="Arial"/>
                <w:sz w:val="20"/>
              </w:rPr>
            </w:pPr>
            <w:r w:rsidRPr="00355A1B">
              <w:rPr>
                <w:rFonts w:ascii="Lato" w:hAnsi="Lato" w:cs="Arial"/>
                <w:sz w:val="20"/>
              </w:rPr>
              <w:t>The Bangladesh Labor Act and The Bangladesh Labor Code 2006 as ammended 2013</w:t>
            </w:r>
          </w:p>
        </w:tc>
        <w:tc>
          <w:tcPr>
            <w:tcW w:w="2320" w:type="pct"/>
          </w:tcPr>
          <w:p w14:paraId="569EEFCD" w14:textId="77777777" w:rsidR="00FA2909" w:rsidRPr="00355A1B" w:rsidRDefault="00FA2909" w:rsidP="00F04B45">
            <w:pPr>
              <w:spacing w:before="120" w:after="120"/>
              <w:jc w:val="both"/>
              <w:rPr>
                <w:rFonts w:ascii="Lato" w:hAnsi="Lato" w:cs="Arial"/>
                <w:highlight w:val="magenta"/>
              </w:rPr>
            </w:pPr>
            <w:r w:rsidRPr="00355A1B">
              <w:rPr>
                <w:rFonts w:ascii="Lato" w:hAnsi="Lato" w:cs="Arial"/>
              </w:rPr>
              <w:t>These laws are related with the compliance of wages, safety, health and environmental factors in the factory premises.</w:t>
            </w:r>
          </w:p>
        </w:tc>
      </w:tr>
    </w:tbl>
    <w:p w14:paraId="1E762179" w14:textId="77777777" w:rsidR="00ED0D34" w:rsidRPr="00355A1B" w:rsidRDefault="00ED0D34" w:rsidP="00F04B45">
      <w:pPr>
        <w:widowControl/>
        <w:spacing w:before="240"/>
        <w:jc w:val="both"/>
        <w:rPr>
          <w:rFonts w:ascii="Lato" w:hAnsi="Lato" w:cs="Arial"/>
          <w:b/>
          <w:bCs/>
          <w:i/>
          <w:iCs/>
          <w:u w:val="single"/>
        </w:rPr>
      </w:pPr>
      <w:r w:rsidRPr="00355A1B">
        <w:rPr>
          <w:rFonts w:ascii="Lato" w:hAnsi="Lato" w:cs="Arial"/>
          <w:b/>
          <w:bCs/>
          <w:i/>
          <w:iCs/>
          <w:u w:val="single"/>
        </w:rPr>
        <w:t>Accounting framework</w:t>
      </w:r>
    </w:p>
    <w:p w14:paraId="34EEF31A" w14:textId="77777777" w:rsidR="00ED0D34" w:rsidRPr="00355A1B" w:rsidRDefault="00ED0D34" w:rsidP="00F04B45">
      <w:pPr>
        <w:widowControl/>
        <w:jc w:val="both"/>
        <w:rPr>
          <w:rFonts w:ascii="Lato" w:hAnsi="Lato" w:cs="Arial"/>
          <w:b/>
          <w:bCs/>
          <w:iCs/>
        </w:rPr>
      </w:pPr>
    </w:p>
    <w:p w14:paraId="4DF1059C" w14:textId="77777777" w:rsidR="00ED0D34" w:rsidRPr="00355A1B" w:rsidRDefault="00ED0D34" w:rsidP="00F04B45">
      <w:pPr>
        <w:widowControl/>
        <w:jc w:val="both"/>
        <w:rPr>
          <w:rFonts w:ascii="Lato" w:hAnsi="Lato" w:cs="Arial"/>
          <w:b/>
          <w:bCs/>
          <w:i/>
          <w:iCs/>
        </w:rPr>
      </w:pPr>
      <w:r w:rsidRPr="00355A1B">
        <w:rPr>
          <w:rFonts w:ascii="Lato" w:hAnsi="Lato" w:cs="Arial"/>
          <w:b/>
          <w:bCs/>
          <w:i/>
          <w:iCs/>
        </w:rPr>
        <w:t>International Financial Reporting Standards (IFRS)</w:t>
      </w:r>
    </w:p>
    <w:p w14:paraId="3271115B" w14:textId="77777777" w:rsidR="00ED0D34" w:rsidRPr="00355A1B" w:rsidRDefault="00ED0D34" w:rsidP="00F04B45">
      <w:pPr>
        <w:widowControl/>
        <w:jc w:val="both"/>
        <w:rPr>
          <w:rFonts w:ascii="Lato" w:hAnsi="Lato" w:cs="Arial"/>
          <w:bCs/>
          <w:iCs/>
        </w:rPr>
      </w:pPr>
    </w:p>
    <w:p w14:paraId="36B3A82D" w14:textId="77777777" w:rsidR="00ED0D34" w:rsidRPr="00355A1B" w:rsidRDefault="00ED0D34" w:rsidP="00F04B45">
      <w:pPr>
        <w:widowControl/>
        <w:jc w:val="both"/>
        <w:rPr>
          <w:rFonts w:ascii="Lato" w:hAnsi="Lato" w:cs="Arial"/>
          <w:bCs/>
          <w:iCs/>
        </w:rPr>
      </w:pPr>
      <w:r w:rsidRPr="00355A1B">
        <w:rPr>
          <w:rFonts w:ascii="Lato" w:hAnsi="Lato" w:cs="Arial"/>
          <w:bCs/>
          <w:iCs/>
        </w:rPr>
        <w:t>The Company is required to prepare financial statements according to International Financial Reporting Standards (IFRS) and has to comply with some discloser requirements of the Companies Act 1994 while preparing financial statements.</w:t>
      </w:r>
      <w:r w:rsidR="006609DE" w:rsidRPr="00355A1B">
        <w:rPr>
          <w:rFonts w:ascii="Lato" w:hAnsi="Lato" w:cs="Arial"/>
          <w:bCs/>
          <w:iCs/>
        </w:rPr>
        <w:t xml:space="preserve"> The company during the year has not change the accounting policy</w:t>
      </w:r>
      <w:r w:rsidR="00EC1F4E" w:rsidRPr="00355A1B">
        <w:rPr>
          <w:rFonts w:ascii="Lato" w:hAnsi="Lato" w:cs="Arial"/>
          <w:bCs/>
          <w:iCs/>
        </w:rPr>
        <w:t xml:space="preserve">. </w:t>
      </w:r>
    </w:p>
    <w:p w14:paraId="25479134" w14:textId="77777777" w:rsidR="00ED0D34" w:rsidRPr="00355A1B" w:rsidRDefault="00ED0D34" w:rsidP="00F04B45">
      <w:pPr>
        <w:widowControl/>
        <w:jc w:val="both"/>
        <w:rPr>
          <w:rFonts w:ascii="Lato" w:hAnsi="Lato" w:cs="Arial"/>
          <w:b/>
          <w:bCs/>
          <w:iCs/>
        </w:rPr>
      </w:pPr>
    </w:p>
    <w:p w14:paraId="459A3CF9" w14:textId="77777777" w:rsidR="006727EC" w:rsidRPr="00355A1B" w:rsidRDefault="006727EC" w:rsidP="00F04B45">
      <w:pPr>
        <w:widowControl/>
        <w:jc w:val="both"/>
        <w:rPr>
          <w:rFonts w:ascii="Lato" w:hAnsi="Lato" w:cs="Arial"/>
          <w:b/>
          <w:bCs/>
          <w:iCs/>
        </w:rPr>
      </w:pPr>
      <w:r w:rsidRPr="00355A1B">
        <w:rPr>
          <w:rFonts w:ascii="Lato" w:hAnsi="Lato" w:cs="Arial"/>
          <w:b/>
          <w:bCs/>
          <w:iCs/>
        </w:rPr>
        <w:t>Laws and regulations:</w:t>
      </w:r>
    </w:p>
    <w:p w14:paraId="4922086E" w14:textId="77777777" w:rsidR="006727EC" w:rsidRPr="00355A1B" w:rsidRDefault="006727EC" w:rsidP="00F04B45">
      <w:pPr>
        <w:widowControl/>
        <w:jc w:val="both"/>
        <w:rPr>
          <w:rFonts w:ascii="Lato" w:hAnsi="Lato" w:cs="Arial"/>
          <w:bCs/>
          <w:iCs/>
        </w:rPr>
      </w:pPr>
    </w:p>
    <w:p w14:paraId="39AA33FC" w14:textId="77777777" w:rsidR="005E7635" w:rsidRPr="00355A1B" w:rsidRDefault="00EB52CC" w:rsidP="00F04B45">
      <w:pPr>
        <w:widowControl/>
        <w:jc w:val="both"/>
        <w:rPr>
          <w:rFonts w:ascii="Lato" w:hAnsi="Lato" w:cs="Arial"/>
          <w:b/>
          <w:bCs/>
          <w:i/>
          <w:iCs/>
        </w:rPr>
      </w:pPr>
      <w:r w:rsidRPr="00355A1B">
        <w:rPr>
          <w:rFonts w:ascii="Lato" w:hAnsi="Lato" w:cs="Arial"/>
          <w:b/>
          <w:bCs/>
          <w:i/>
          <w:iCs/>
        </w:rPr>
        <w:t>Companies Act 1994</w:t>
      </w:r>
    </w:p>
    <w:p w14:paraId="51992416" w14:textId="77777777" w:rsidR="006727EC" w:rsidRPr="00355A1B" w:rsidRDefault="005E7635" w:rsidP="00F04B45">
      <w:pPr>
        <w:widowControl/>
        <w:jc w:val="both"/>
        <w:rPr>
          <w:rFonts w:ascii="Lato" w:hAnsi="Lato" w:cs="Arial"/>
          <w:bCs/>
          <w:iCs/>
        </w:rPr>
      </w:pPr>
      <w:r w:rsidRPr="00355A1B">
        <w:rPr>
          <w:rFonts w:ascii="Lato" w:hAnsi="Lato" w:cs="Arial"/>
          <w:bCs/>
          <w:iCs/>
        </w:rPr>
        <w:t>The Companies Act 1994 provides the primary legal framework for the operation of the Company. The principal regulatory authority in relation to corporate affairs is the RJSC. The entity is obliged to comply with the Companies Act 1994 governing its regulatory filing with the RJSC. This legislation includes provisions on the information to be filed, the time permitted to make required filing and penalties for non-compliance.</w:t>
      </w:r>
    </w:p>
    <w:p w14:paraId="7B0A3C27" w14:textId="77777777" w:rsidR="006727EC" w:rsidRPr="00355A1B" w:rsidRDefault="006727EC" w:rsidP="00F04B45">
      <w:pPr>
        <w:widowControl/>
        <w:jc w:val="both"/>
        <w:rPr>
          <w:rFonts w:ascii="Lato" w:hAnsi="Lato" w:cs="Arial"/>
          <w:bCs/>
          <w:iCs/>
        </w:rPr>
      </w:pPr>
    </w:p>
    <w:p w14:paraId="52B28E0A" w14:textId="77777777" w:rsidR="005E7635" w:rsidRPr="00355A1B" w:rsidRDefault="005E7635" w:rsidP="00F04B45">
      <w:pPr>
        <w:widowControl/>
        <w:jc w:val="both"/>
        <w:rPr>
          <w:rFonts w:ascii="Lato" w:hAnsi="Lato" w:cs="Arial"/>
          <w:b/>
          <w:bCs/>
          <w:i/>
          <w:iCs/>
        </w:rPr>
      </w:pPr>
      <w:r w:rsidRPr="00355A1B">
        <w:rPr>
          <w:rFonts w:ascii="Lato" w:hAnsi="Lato" w:cs="Arial"/>
          <w:b/>
          <w:bCs/>
          <w:i/>
          <w:iCs/>
        </w:rPr>
        <w:t>Income Tax Ordinance</w:t>
      </w:r>
      <w:r w:rsidR="00EB52CC" w:rsidRPr="00355A1B">
        <w:rPr>
          <w:rFonts w:ascii="Lato" w:hAnsi="Lato" w:cs="Arial"/>
          <w:b/>
          <w:bCs/>
          <w:i/>
          <w:iCs/>
        </w:rPr>
        <w:t xml:space="preserve"> 1984 and Income Tax Rules 1984</w:t>
      </w:r>
    </w:p>
    <w:p w14:paraId="270008CD" w14:textId="77777777" w:rsidR="005E7635" w:rsidRPr="00355A1B" w:rsidRDefault="005E7635" w:rsidP="00F04B45">
      <w:pPr>
        <w:widowControl/>
        <w:jc w:val="both"/>
        <w:rPr>
          <w:rFonts w:ascii="Lato" w:hAnsi="Lato" w:cs="Arial"/>
          <w:bCs/>
          <w:iCs/>
        </w:rPr>
      </w:pPr>
      <w:r w:rsidRPr="00355A1B">
        <w:rPr>
          <w:rFonts w:ascii="Lato" w:hAnsi="Lato" w:cs="Arial"/>
          <w:bCs/>
          <w:iCs/>
        </w:rPr>
        <w:t>The Company has to pay advance income tax and deduct tax at source on payment for goods and services as per the provisions of income tax ordinance. The Company also has to submit quarterly tax returns for deducted tax amount to National Board of Revenue (NBR) as per the said ordinance.</w:t>
      </w:r>
    </w:p>
    <w:p w14:paraId="475E5AEB" w14:textId="77777777" w:rsidR="005E7635" w:rsidRPr="00355A1B" w:rsidRDefault="005E7635" w:rsidP="00F04B45">
      <w:pPr>
        <w:widowControl/>
        <w:jc w:val="both"/>
        <w:rPr>
          <w:rFonts w:ascii="Lato" w:hAnsi="Lato" w:cs="Arial"/>
          <w:bCs/>
          <w:iCs/>
        </w:rPr>
      </w:pPr>
    </w:p>
    <w:p w14:paraId="09D2B6ED" w14:textId="77777777" w:rsidR="005E7635" w:rsidRPr="00355A1B" w:rsidRDefault="005E7635" w:rsidP="00F04B45">
      <w:pPr>
        <w:widowControl/>
        <w:jc w:val="both"/>
        <w:rPr>
          <w:rFonts w:ascii="Lato" w:hAnsi="Lato" w:cs="Arial"/>
          <w:bCs/>
          <w:iCs/>
        </w:rPr>
      </w:pPr>
      <w:r w:rsidRPr="00355A1B">
        <w:rPr>
          <w:rFonts w:ascii="Lato" w:hAnsi="Lato" w:cs="Arial"/>
          <w:bCs/>
          <w:iCs/>
        </w:rPr>
        <w:t>The current tax provision of the Company is calculated considering the allowable expenses as per income tax ordinance.</w:t>
      </w:r>
    </w:p>
    <w:p w14:paraId="73C0557F" w14:textId="77777777" w:rsidR="005E7635" w:rsidRPr="00355A1B" w:rsidRDefault="005E7635" w:rsidP="00F04B45">
      <w:pPr>
        <w:widowControl/>
        <w:jc w:val="both"/>
        <w:rPr>
          <w:rFonts w:ascii="Lato" w:hAnsi="Lato" w:cs="Arial"/>
          <w:bCs/>
          <w:iCs/>
        </w:rPr>
      </w:pPr>
    </w:p>
    <w:p w14:paraId="349CDA34" w14:textId="77777777" w:rsidR="005E7635" w:rsidRPr="00355A1B" w:rsidRDefault="005E7635" w:rsidP="00F04B45">
      <w:pPr>
        <w:widowControl/>
        <w:jc w:val="both"/>
        <w:rPr>
          <w:rFonts w:ascii="Lato" w:hAnsi="Lato" w:cs="Arial"/>
          <w:b/>
          <w:bCs/>
          <w:i/>
          <w:iCs/>
        </w:rPr>
      </w:pPr>
      <w:r w:rsidRPr="00355A1B">
        <w:rPr>
          <w:rFonts w:ascii="Lato" w:hAnsi="Lato" w:cs="Arial"/>
          <w:b/>
          <w:bCs/>
          <w:i/>
          <w:iCs/>
        </w:rPr>
        <w:t>Val</w:t>
      </w:r>
      <w:r w:rsidR="00F04B45" w:rsidRPr="00355A1B">
        <w:rPr>
          <w:rFonts w:ascii="Lato" w:hAnsi="Lato" w:cs="Arial"/>
          <w:b/>
          <w:bCs/>
          <w:i/>
          <w:iCs/>
        </w:rPr>
        <w:t>ue Added Tax Act 2012 and Rules 2016</w:t>
      </w:r>
    </w:p>
    <w:p w14:paraId="006BDA7B" w14:textId="77777777" w:rsidR="005E7635" w:rsidRPr="00355A1B" w:rsidRDefault="005E7635" w:rsidP="00F04B45">
      <w:pPr>
        <w:widowControl/>
        <w:jc w:val="both"/>
        <w:rPr>
          <w:rFonts w:ascii="Lato" w:hAnsi="Lato" w:cs="Arial"/>
          <w:bCs/>
          <w:iCs/>
        </w:rPr>
      </w:pPr>
      <w:r w:rsidRPr="00355A1B">
        <w:rPr>
          <w:rFonts w:ascii="Lato" w:hAnsi="Lato" w:cs="Arial"/>
          <w:bCs/>
          <w:iCs/>
        </w:rPr>
        <w:t>To comply with VAT rules for the collection, charge and rebate of VAT on purchase of goods and services.</w:t>
      </w:r>
    </w:p>
    <w:p w14:paraId="44A94F24" w14:textId="77777777" w:rsidR="005E7635" w:rsidRPr="00355A1B" w:rsidRDefault="005E7635" w:rsidP="00F04B45">
      <w:pPr>
        <w:widowControl/>
        <w:jc w:val="both"/>
        <w:rPr>
          <w:rFonts w:ascii="Lato" w:hAnsi="Lato" w:cs="Arial"/>
          <w:bCs/>
          <w:iCs/>
        </w:rPr>
      </w:pPr>
    </w:p>
    <w:p w14:paraId="2E4DE33C" w14:textId="77777777" w:rsidR="005E7635" w:rsidRPr="00355A1B" w:rsidRDefault="005E7635" w:rsidP="00F04B45">
      <w:pPr>
        <w:widowControl/>
        <w:jc w:val="both"/>
        <w:rPr>
          <w:rFonts w:ascii="Lato" w:hAnsi="Lato" w:cs="Arial"/>
          <w:b/>
          <w:bCs/>
          <w:i/>
          <w:iCs/>
        </w:rPr>
      </w:pPr>
      <w:proofErr w:type="spellStart"/>
      <w:r w:rsidRPr="00355A1B">
        <w:rPr>
          <w:rFonts w:ascii="Lato" w:hAnsi="Lato" w:cs="Arial"/>
          <w:b/>
          <w:bCs/>
          <w:i/>
          <w:iCs/>
        </w:rPr>
        <w:t>Labour</w:t>
      </w:r>
      <w:proofErr w:type="spellEnd"/>
      <w:r w:rsidRPr="00355A1B">
        <w:rPr>
          <w:rFonts w:ascii="Lato" w:hAnsi="Lato" w:cs="Arial"/>
          <w:b/>
          <w:bCs/>
          <w:i/>
          <w:iCs/>
        </w:rPr>
        <w:t xml:space="preserve"> Act 2006 (as amended</w:t>
      </w:r>
      <w:r w:rsidR="00EB52CC" w:rsidRPr="00355A1B">
        <w:rPr>
          <w:rFonts w:ascii="Lato" w:hAnsi="Lato" w:cs="Arial"/>
          <w:b/>
          <w:bCs/>
          <w:i/>
          <w:iCs/>
        </w:rPr>
        <w:t xml:space="preserve"> in 2013)</w:t>
      </w:r>
    </w:p>
    <w:p w14:paraId="7D133ADA" w14:textId="77777777" w:rsidR="005E7635" w:rsidRPr="00355A1B" w:rsidRDefault="005E7635" w:rsidP="00F04B45">
      <w:pPr>
        <w:widowControl/>
        <w:jc w:val="both"/>
        <w:rPr>
          <w:rFonts w:ascii="Lato" w:hAnsi="Lato" w:cs="Arial"/>
          <w:bCs/>
          <w:iCs/>
        </w:rPr>
      </w:pPr>
      <w:r w:rsidRPr="00355A1B">
        <w:rPr>
          <w:rFonts w:ascii="Lato" w:hAnsi="Lato" w:cs="Arial"/>
          <w:bCs/>
          <w:iCs/>
        </w:rPr>
        <w:t xml:space="preserve">To comply with </w:t>
      </w:r>
      <w:proofErr w:type="spellStart"/>
      <w:r w:rsidRPr="00355A1B">
        <w:rPr>
          <w:rFonts w:ascii="Lato" w:hAnsi="Lato" w:cs="Arial"/>
          <w:bCs/>
          <w:iCs/>
        </w:rPr>
        <w:t>labour</w:t>
      </w:r>
      <w:proofErr w:type="spellEnd"/>
      <w:r w:rsidRPr="00355A1B">
        <w:rPr>
          <w:rFonts w:ascii="Lato" w:hAnsi="Lato" w:cs="Arial"/>
          <w:bCs/>
          <w:iCs/>
        </w:rPr>
        <w:t xml:space="preserve"> act for payment of wages and participation of company's profit. The Company has to pay 5% of its profit before charging such expenses to the Workers' Profit Participation Fund (WPPF).</w:t>
      </w:r>
    </w:p>
    <w:p w14:paraId="65C5B707" w14:textId="77777777" w:rsidR="005E7635" w:rsidRPr="00355A1B" w:rsidRDefault="005E7635" w:rsidP="00F04B45">
      <w:pPr>
        <w:widowControl/>
        <w:jc w:val="both"/>
        <w:rPr>
          <w:rFonts w:ascii="Lato" w:hAnsi="Lato" w:cs="Arial"/>
          <w:bCs/>
          <w:iCs/>
        </w:rPr>
      </w:pPr>
    </w:p>
    <w:p w14:paraId="6D0B6EDE" w14:textId="77777777" w:rsidR="005E7635" w:rsidRPr="00355A1B" w:rsidRDefault="005E7635" w:rsidP="00F04B45">
      <w:pPr>
        <w:widowControl/>
        <w:jc w:val="both"/>
        <w:rPr>
          <w:rFonts w:ascii="Lato" w:hAnsi="Lato" w:cs="Arial"/>
          <w:b/>
          <w:bCs/>
          <w:i/>
          <w:iCs/>
        </w:rPr>
      </w:pPr>
      <w:r w:rsidRPr="00355A1B">
        <w:rPr>
          <w:rFonts w:ascii="Lato" w:hAnsi="Lato" w:cs="Arial"/>
          <w:b/>
          <w:bCs/>
          <w:i/>
          <w:iCs/>
        </w:rPr>
        <w:t>Bangladesh Secu</w:t>
      </w:r>
      <w:r w:rsidR="00EB52CC" w:rsidRPr="00355A1B">
        <w:rPr>
          <w:rFonts w:ascii="Lato" w:hAnsi="Lato" w:cs="Arial"/>
          <w:b/>
          <w:bCs/>
          <w:i/>
          <w:iCs/>
        </w:rPr>
        <w:t>rities and Exchange Rules, 1987</w:t>
      </w:r>
    </w:p>
    <w:p w14:paraId="6AA926FE" w14:textId="77777777" w:rsidR="00EB52CC" w:rsidRPr="00355A1B" w:rsidRDefault="005E7635" w:rsidP="00F04B45">
      <w:pPr>
        <w:widowControl/>
        <w:jc w:val="both"/>
        <w:rPr>
          <w:rFonts w:ascii="Lato" w:hAnsi="Lato" w:cs="Arial"/>
          <w:bCs/>
          <w:iCs/>
        </w:rPr>
      </w:pPr>
      <w:r w:rsidRPr="00355A1B">
        <w:rPr>
          <w:rFonts w:ascii="Lato" w:hAnsi="Lato" w:cs="Arial"/>
          <w:bCs/>
          <w:iCs/>
        </w:rPr>
        <w:t xml:space="preserve">The Company is also required to prepare its financial statement in accordance with Bangladesh Securities and Exchange Rules, 1987. The Rule also guides the </w:t>
      </w:r>
      <w:r w:rsidR="00B3609B" w:rsidRPr="00355A1B">
        <w:rPr>
          <w:rFonts w:ascii="Lato" w:hAnsi="Lato" w:cs="Arial"/>
          <w:bCs/>
          <w:iCs/>
        </w:rPr>
        <w:t>Company regarding</w:t>
      </w:r>
      <w:r w:rsidRPr="00355A1B">
        <w:rPr>
          <w:rFonts w:ascii="Lato" w:hAnsi="Lato" w:cs="Arial"/>
          <w:bCs/>
          <w:iCs/>
        </w:rPr>
        <w:t xml:space="preserve"> the manner of share transaction in the stock exchange, maintenance of accounts and audit, required qualifications to be registered in the stock exchange, revaluation of assets etc.</w:t>
      </w:r>
    </w:p>
    <w:p w14:paraId="7649D149" w14:textId="77777777" w:rsidR="000D1B6B" w:rsidRPr="00355A1B" w:rsidRDefault="008A470E" w:rsidP="00F04B45">
      <w:pPr>
        <w:pStyle w:val="Head2bold"/>
        <w:jc w:val="both"/>
        <w:rPr>
          <w:rFonts w:ascii="Lato" w:hAnsi="Lato" w:cs="Arial"/>
          <w:sz w:val="20"/>
          <w:szCs w:val="20"/>
          <w:u w:val="single"/>
        </w:rPr>
      </w:pPr>
      <w:r w:rsidRPr="00355A1B">
        <w:rPr>
          <w:rFonts w:ascii="Lato" w:hAnsi="Lato" w:cs="Arial"/>
          <w:sz w:val="20"/>
          <w:szCs w:val="20"/>
          <w:u w:val="single"/>
        </w:rPr>
        <w:t>Significant A</w:t>
      </w:r>
      <w:r w:rsidR="000D1B6B" w:rsidRPr="00355A1B">
        <w:rPr>
          <w:rFonts w:ascii="Lato" w:hAnsi="Lato" w:cs="Arial"/>
          <w:sz w:val="20"/>
          <w:szCs w:val="20"/>
          <w:u w:val="single"/>
        </w:rPr>
        <w:t>ccounting policies</w:t>
      </w:r>
      <w:r w:rsidRPr="00355A1B">
        <w:rPr>
          <w:rFonts w:ascii="Lato" w:hAnsi="Lato" w:cs="Arial"/>
          <w:sz w:val="20"/>
          <w:szCs w:val="20"/>
          <w:u w:val="single"/>
        </w:rPr>
        <w:t xml:space="preserve"> (write accounting policies mentioned in the FS)</w:t>
      </w:r>
    </w:p>
    <w:p w14:paraId="08EED6C2" w14:textId="77777777" w:rsidR="000D1B6B" w:rsidRPr="00355A1B" w:rsidRDefault="000D1B6B" w:rsidP="00F04B45">
      <w:pPr>
        <w:pStyle w:val="BodyText1"/>
        <w:jc w:val="both"/>
        <w:rPr>
          <w:rFonts w:ascii="Lato" w:hAnsi="Lato" w:cs="Arial"/>
          <w:vanish/>
          <w:sz w:val="20"/>
          <w:szCs w:val="20"/>
        </w:rPr>
      </w:pPr>
      <w:r w:rsidRPr="00355A1B">
        <w:rPr>
          <w:rFonts w:ascii="Lato" w:hAnsi="Lato" w:cs="Arial"/>
          <w:vanish/>
          <w:sz w:val="20"/>
          <w:szCs w:val="20"/>
        </w:rPr>
        <w:lastRenderedPageBreak/>
        <w:t>Critical accounting policies are those that, in our judgment, are both most important to the portrayal of the entity’s financial condition, cash flows, and results of operations and require management’s most difficult, subjective, or complex judgments, often as a result of the need to make estimates about the effect of matters that are inherently uncertain.</w:t>
      </w:r>
    </w:p>
    <w:p w14:paraId="4DB1800E" w14:textId="77777777" w:rsidR="000D1B6B" w:rsidRPr="00355A1B" w:rsidRDefault="000D1B6B" w:rsidP="00F04B45">
      <w:pPr>
        <w:pStyle w:val="Tablebullet"/>
        <w:numPr>
          <w:ilvl w:val="0"/>
          <w:numId w:val="8"/>
        </w:numPr>
        <w:jc w:val="both"/>
        <w:rPr>
          <w:rFonts w:ascii="Lato" w:hAnsi="Lato" w:cs="Arial"/>
          <w:sz w:val="20"/>
        </w:rPr>
      </w:pPr>
      <w:r w:rsidRPr="00355A1B">
        <w:rPr>
          <w:rFonts w:ascii="Lato" w:hAnsi="Lato" w:cs="Arial"/>
          <w:sz w:val="20"/>
        </w:rPr>
        <w:t xml:space="preserve">Revenue recognition </w:t>
      </w:r>
    </w:p>
    <w:p w14:paraId="2D8A800A" w14:textId="77777777" w:rsidR="000D1B6B" w:rsidRPr="00355A1B" w:rsidRDefault="008A470E" w:rsidP="00F04B45">
      <w:pPr>
        <w:pStyle w:val="Tablebullet"/>
        <w:numPr>
          <w:ilvl w:val="0"/>
          <w:numId w:val="8"/>
        </w:numPr>
        <w:jc w:val="both"/>
        <w:rPr>
          <w:rFonts w:ascii="Lato" w:hAnsi="Lato" w:cs="Arial"/>
          <w:sz w:val="20"/>
        </w:rPr>
      </w:pPr>
      <w:r w:rsidRPr="00355A1B">
        <w:rPr>
          <w:rFonts w:ascii="Lato" w:hAnsi="Lato" w:cs="Arial"/>
          <w:sz w:val="20"/>
        </w:rPr>
        <w:t>Inventories</w:t>
      </w:r>
    </w:p>
    <w:p w14:paraId="355EC923" w14:textId="77777777" w:rsidR="000D1B6B" w:rsidRPr="00355A1B" w:rsidRDefault="000D1B6B" w:rsidP="00F04B45">
      <w:pPr>
        <w:pStyle w:val="Tablebullet"/>
        <w:numPr>
          <w:ilvl w:val="0"/>
          <w:numId w:val="8"/>
        </w:numPr>
        <w:jc w:val="both"/>
        <w:rPr>
          <w:rFonts w:ascii="Lato" w:hAnsi="Lato" w:cs="Arial"/>
          <w:sz w:val="20"/>
        </w:rPr>
      </w:pPr>
      <w:r w:rsidRPr="00355A1B">
        <w:rPr>
          <w:rFonts w:ascii="Lato" w:hAnsi="Lato" w:cs="Arial"/>
          <w:sz w:val="20"/>
        </w:rPr>
        <w:t>Valuation of investment in subsidiaries, assosiates and joint ventures</w:t>
      </w:r>
    </w:p>
    <w:p w14:paraId="105724D3" w14:textId="77777777" w:rsidR="008A470E" w:rsidRPr="00355A1B" w:rsidRDefault="000D1B6B" w:rsidP="00F04B45">
      <w:pPr>
        <w:pStyle w:val="Tablebullet"/>
        <w:numPr>
          <w:ilvl w:val="0"/>
          <w:numId w:val="8"/>
        </w:numPr>
        <w:jc w:val="both"/>
        <w:rPr>
          <w:rFonts w:ascii="Lato" w:hAnsi="Lato" w:cs="Arial"/>
          <w:sz w:val="20"/>
        </w:rPr>
      </w:pPr>
      <w:r w:rsidRPr="00355A1B">
        <w:rPr>
          <w:rFonts w:ascii="Lato" w:hAnsi="Lato" w:cs="Arial"/>
          <w:sz w:val="20"/>
        </w:rPr>
        <w:t>Related party transactions</w:t>
      </w:r>
    </w:p>
    <w:p w14:paraId="7A2C75B6" w14:textId="77777777" w:rsidR="000D1B6B" w:rsidRPr="00355A1B" w:rsidRDefault="008A470E" w:rsidP="00F04B45">
      <w:pPr>
        <w:pStyle w:val="Tablebullet"/>
        <w:numPr>
          <w:ilvl w:val="0"/>
          <w:numId w:val="8"/>
        </w:numPr>
        <w:jc w:val="both"/>
        <w:rPr>
          <w:rFonts w:ascii="Lato" w:hAnsi="Lato" w:cs="Arial"/>
          <w:sz w:val="20"/>
        </w:rPr>
      </w:pPr>
      <w:r w:rsidRPr="00355A1B">
        <w:rPr>
          <w:rFonts w:ascii="Lato" w:hAnsi="Lato" w:cs="Arial"/>
          <w:sz w:val="20"/>
        </w:rPr>
        <w:t>A</w:t>
      </w:r>
      <w:r w:rsidR="000D1B6B" w:rsidRPr="00355A1B">
        <w:rPr>
          <w:rFonts w:ascii="Lato" w:hAnsi="Lato" w:cs="Arial"/>
          <w:sz w:val="20"/>
        </w:rPr>
        <w:t>ccounts receivables</w:t>
      </w:r>
    </w:p>
    <w:p w14:paraId="16ACB6C3" w14:textId="77777777" w:rsidR="008A470E" w:rsidRPr="00355A1B" w:rsidRDefault="000D1B6B" w:rsidP="00F04B45">
      <w:pPr>
        <w:pStyle w:val="Tablebullet"/>
        <w:numPr>
          <w:ilvl w:val="0"/>
          <w:numId w:val="8"/>
        </w:numPr>
        <w:jc w:val="both"/>
        <w:rPr>
          <w:rFonts w:ascii="Lato" w:hAnsi="Lato" w:cs="Arial"/>
          <w:sz w:val="20"/>
        </w:rPr>
      </w:pPr>
      <w:r w:rsidRPr="00355A1B">
        <w:rPr>
          <w:rFonts w:ascii="Lato" w:hAnsi="Lato" w:cs="Arial"/>
          <w:sz w:val="20"/>
        </w:rPr>
        <w:t>Cash and bank balanc</w:t>
      </w:r>
      <w:r w:rsidR="000013D1" w:rsidRPr="00355A1B">
        <w:rPr>
          <w:rFonts w:ascii="Lato" w:hAnsi="Lato" w:cs="Arial"/>
          <w:sz w:val="20"/>
        </w:rPr>
        <w:t xml:space="preserve">es </w:t>
      </w:r>
    </w:p>
    <w:p w14:paraId="7AEC2330" w14:textId="77777777" w:rsidR="00DB529C" w:rsidRPr="00355A1B" w:rsidRDefault="000D1B6B" w:rsidP="00F04B45">
      <w:pPr>
        <w:pStyle w:val="Tablebullet"/>
        <w:numPr>
          <w:ilvl w:val="0"/>
          <w:numId w:val="8"/>
        </w:numPr>
        <w:jc w:val="both"/>
        <w:rPr>
          <w:rFonts w:ascii="Lato" w:hAnsi="Lato" w:cs="Arial"/>
          <w:sz w:val="20"/>
        </w:rPr>
      </w:pPr>
      <w:r w:rsidRPr="00355A1B">
        <w:rPr>
          <w:rFonts w:ascii="Lato" w:hAnsi="Lato" w:cs="Arial"/>
          <w:sz w:val="20"/>
        </w:rPr>
        <w:t>Plant, property and equipm</w:t>
      </w:r>
      <w:r w:rsidR="002A02E6" w:rsidRPr="00355A1B">
        <w:rPr>
          <w:rFonts w:ascii="Lato" w:hAnsi="Lato" w:cs="Arial"/>
          <w:sz w:val="20"/>
        </w:rPr>
        <w:t>ent</w:t>
      </w:r>
    </w:p>
    <w:p w14:paraId="500EEC29" w14:textId="77777777" w:rsidR="00F63C9D" w:rsidRPr="00355A1B" w:rsidRDefault="00F63C9D" w:rsidP="00F04B45">
      <w:pPr>
        <w:widowControl/>
        <w:jc w:val="both"/>
        <w:rPr>
          <w:rFonts w:ascii="Lato" w:hAnsi="Lato" w:cs="Arial"/>
          <w:b/>
          <w:bCs/>
          <w:i/>
          <w:iCs/>
          <w:u w:val="single"/>
        </w:rPr>
      </w:pPr>
      <w:r w:rsidRPr="00355A1B">
        <w:rPr>
          <w:rFonts w:ascii="Lato" w:hAnsi="Lato" w:cs="Arial"/>
          <w:b/>
          <w:bCs/>
          <w:i/>
          <w:iCs/>
          <w:u w:val="single"/>
        </w:rPr>
        <w:t>Compliance with legal and regulatory framework by the entity:</w:t>
      </w:r>
    </w:p>
    <w:p w14:paraId="6786C752" w14:textId="77777777" w:rsidR="00F63C9D" w:rsidRPr="00355A1B" w:rsidRDefault="00F63C9D" w:rsidP="00F04B45">
      <w:pPr>
        <w:widowControl/>
        <w:jc w:val="both"/>
        <w:rPr>
          <w:rFonts w:ascii="Lato" w:hAnsi="Lato" w:cs="Arial"/>
          <w:bCs/>
          <w:iCs/>
        </w:rPr>
      </w:pPr>
    </w:p>
    <w:p w14:paraId="38997A3E" w14:textId="77777777" w:rsidR="00F63C9D" w:rsidRPr="00355A1B" w:rsidRDefault="00F63C9D" w:rsidP="00F04B45">
      <w:pPr>
        <w:widowControl/>
        <w:jc w:val="both"/>
        <w:rPr>
          <w:rFonts w:ascii="Lato" w:hAnsi="Lato" w:cs="Arial"/>
          <w:bCs/>
          <w:iCs/>
        </w:rPr>
      </w:pPr>
      <w:r w:rsidRPr="00355A1B">
        <w:rPr>
          <w:rFonts w:ascii="Lato" w:hAnsi="Lato" w:cs="Arial"/>
          <w:bCs/>
          <w:iCs/>
        </w:rPr>
        <w:t>The entity complies with the legal and regulatory framework by reviewing the compliance issues on regular basis. Legal department guided by the Company Secretary has devoted the team to ensure legal compliance as per legal regulation and instruction.</w:t>
      </w:r>
    </w:p>
    <w:p w14:paraId="72F3741D" w14:textId="77777777" w:rsidR="00F63C9D" w:rsidRPr="00355A1B" w:rsidRDefault="00F63C9D" w:rsidP="00F04B45">
      <w:pPr>
        <w:widowControl/>
        <w:jc w:val="both"/>
        <w:rPr>
          <w:rFonts w:ascii="Lato" w:hAnsi="Lato" w:cs="Arial"/>
          <w:bCs/>
          <w:iCs/>
        </w:rPr>
      </w:pPr>
    </w:p>
    <w:p w14:paraId="00BA6357" w14:textId="77777777" w:rsidR="00F63C9D" w:rsidRPr="00355A1B" w:rsidRDefault="00F63C9D" w:rsidP="00F04B45">
      <w:pPr>
        <w:widowControl/>
        <w:jc w:val="both"/>
        <w:rPr>
          <w:rFonts w:ascii="Lato" w:hAnsi="Lato" w:cs="Arial"/>
          <w:bCs/>
          <w:iCs/>
        </w:rPr>
      </w:pPr>
      <w:r w:rsidRPr="00355A1B">
        <w:rPr>
          <w:rFonts w:ascii="Lato" w:hAnsi="Lato" w:cs="Arial"/>
          <w:bCs/>
          <w:iCs/>
        </w:rPr>
        <w:t>Moreover, the Company ensures compliance with the legal and regulatory framework by undertaking the followings:</w:t>
      </w:r>
    </w:p>
    <w:p w14:paraId="0981BC2D" w14:textId="77777777" w:rsidR="00F63C9D" w:rsidRPr="00355A1B" w:rsidRDefault="00F63C9D" w:rsidP="00F04B45">
      <w:pPr>
        <w:widowControl/>
        <w:jc w:val="both"/>
        <w:rPr>
          <w:rFonts w:ascii="Lato" w:hAnsi="Lato" w:cs="Arial"/>
          <w:bCs/>
          <w:iCs/>
        </w:rPr>
      </w:pPr>
    </w:p>
    <w:p w14:paraId="511CCD56" w14:textId="77777777" w:rsidR="00F63C9D" w:rsidRPr="00355A1B" w:rsidRDefault="00F63C9D" w:rsidP="00F04B45">
      <w:pPr>
        <w:pStyle w:val="ListParagraph"/>
        <w:widowControl/>
        <w:numPr>
          <w:ilvl w:val="0"/>
          <w:numId w:val="1"/>
        </w:numPr>
        <w:jc w:val="both"/>
        <w:rPr>
          <w:rFonts w:ascii="Lato" w:hAnsi="Lato" w:cs="Arial"/>
          <w:bCs/>
          <w:iCs/>
        </w:rPr>
      </w:pPr>
      <w:r w:rsidRPr="00355A1B">
        <w:rPr>
          <w:rFonts w:ascii="Lato" w:hAnsi="Lato" w:cs="Arial"/>
          <w:bCs/>
          <w:iCs/>
        </w:rPr>
        <w:t>Monitoring legal requirements and ensuring that operating procedures are designed to meet these requirements.</w:t>
      </w:r>
    </w:p>
    <w:p w14:paraId="58FE2A0E" w14:textId="77777777" w:rsidR="00F63C9D" w:rsidRPr="00355A1B" w:rsidRDefault="00F63C9D" w:rsidP="00F04B45">
      <w:pPr>
        <w:pStyle w:val="ListParagraph"/>
        <w:widowControl/>
        <w:numPr>
          <w:ilvl w:val="0"/>
          <w:numId w:val="1"/>
        </w:numPr>
        <w:jc w:val="both"/>
        <w:rPr>
          <w:rFonts w:ascii="Lato" w:hAnsi="Lato" w:cs="Arial"/>
          <w:bCs/>
          <w:iCs/>
        </w:rPr>
      </w:pPr>
      <w:r w:rsidRPr="00355A1B">
        <w:rPr>
          <w:rFonts w:ascii="Lato" w:hAnsi="Lato" w:cs="Arial"/>
          <w:bCs/>
          <w:iCs/>
        </w:rPr>
        <w:t>Instituting and operating appropriate internal control systems.</w:t>
      </w:r>
    </w:p>
    <w:p w14:paraId="29A03A19" w14:textId="77777777" w:rsidR="00F63C9D" w:rsidRPr="00355A1B" w:rsidRDefault="00F63C9D" w:rsidP="00F04B45">
      <w:pPr>
        <w:pStyle w:val="ListParagraph"/>
        <w:widowControl/>
        <w:numPr>
          <w:ilvl w:val="0"/>
          <w:numId w:val="1"/>
        </w:numPr>
        <w:jc w:val="both"/>
        <w:rPr>
          <w:rFonts w:ascii="Lato" w:hAnsi="Lato" w:cs="Arial"/>
          <w:bCs/>
          <w:iCs/>
        </w:rPr>
      </w:pPr>
      <w:r w:rsidRPr="00355A1B">
        <w:rPr>
          <w:rFonts w:ascii="Lato" w:hAnsi="Lato" w:cs="Arial"/>
          <w:bCs/>
          <w:iCs/>
        </w:rPr>
        <w:t>Maintaining a register of significant laws and regulations with which the entity has to comply within its particular industry.</w:t>
      </w:r>
    </w:p>
    <w:p w14:paraId="02E190DA" w14:textId="77777777" w:rsidR="00F63C9D" w:rsidRPr="00355A1B" w:rsidRDefault="00F63C9D" w:rsidP="00F04B45">
      <w:pPr>
        <w:pStyle w:val="ListParagraph"/>
        <w:widowControl/>
        <w:numPr>
          <w:ilvl w:val="0"/>
          <w:numId w:val="1"/>
        </w:numPr>
        <w:jc w:val="both"/>
        <w:rPr>
          <w:rFonts w:ascii="Lato" w:hAnsi="Lato" w:cs="Arial"/>
          <w:bCs/>
          <w:iCs/>
        </w:rPr>
      </w:pPr>
      <w:r w:rsidRPr="00355A1B">
        <w:rPr>
          <w:rFonts w:ascii="Lato" w:hAnsi="Lato" w:cs="Arial"/>
          <w:bCs/>
          <w:iCs/>
        </w:rPr>
        <w:t>Developing, publicizing and following employee handbook.</w:t>
      </w:r>
    </w:p>
    <w:p w14:paraId="227E9E6A" w14:textId="77777777" w:rsidR="00F63C9D" w:rsidRPr="00355A1B" w:rsidRDefault="00F63C9D" w:rsidP="00F04B45">
      <w:pPr>
        <w:pStyle w:val="ListParagraph"/>
        <w:widowControl/>
        <w:numPr>
          <w:ilvl w:val="0"/>
          <w:numId w:val="1"/>
        </w:numPr>
        <w:jc w:val="both"/>
        <w:rPr>
          <w:rFonts w:ascii="Lato" w:hAnsi="Lato" w:cs="Arial"/>
          <w:bCs/>
          <w:iCs/>
        </w:rPr>
      </w:pPr>
      <w:r w:rsidRPr="00355A1B">
        <w:rPr>
          <w:rFonts w:ascii="Lato" w:hAnsi="Lato" w:cs="Arial"/>
          <w:bCs/>
          <w:iCs/>
        </w:rPr>
        <w:t>Ensuring employees are properly trained and understand the employee handbook.</w:t>
      </w:r>
    </w:p>
    <w:p w14:paraId="6E900A38" w14:textId="77777777" w:rsidR="00F63C9D" w:rsidRPr="00355A1B" w:rsidRDefault="00F63C9D" w:rsidP="00F04B45">
      <w:pPr>
        <w:widowControl/>
        <w:jc w:val="both"/>
        <w:rPr>
          <w:rFonts w:ascii="Lato" w:hAnsi="Lato" w:cs="Arial"/>
          <w:bCs/>
          <w:iCs/>
        </w:rPr>
      </w:pPr>
    </w:p>
    <w:sectPr w:rsidR="00F63C9D" w:rsidRPr="00355A1B" w:rsidSect="00283AE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DDF11" w14:textId="77777777" w:rsidR="00511978" w:rsidRDefault="00511978" w:rsidP="00A357B3">
      <w:r>
        <w:separator/>
      </w:r>
    </w:p>
  </w:endnote>
  <w:endnote w:type="continuationSeparator" w:id="0">
    <w:p w14:paraId="7007C2F1" w14:textId="77777777" w:rsidR="00511978" w:rsidRDefault="00511978" w:rsidP="00A35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A00002AF" w:usb1="4000604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7039845"/>
      <w:docPartObj>
        <w:docPartGallery w:val="Page Numbers (Bottom of Page)"/>
        <w:docPartUnique/>
      </w:docPartObj>
    </w:sdtPr>
    <w:sdtEndPr/>
    <w:sdtContent>
      <w:sdt>
        <w:sdtPr>
          <w:id w:val="1728636285"/>
          <w:docPartObj>
            <w:docPartGallery w:val="Page Numbers (Top of Page)"/>
            <w:docPartUnique/>
          </w:docPartObj>
        </w:sdtPr>
        <w:sdtEndPr/>
        <w:sdtContent>
          <w:p w14:paraId="347701E9" w14:textId="77777777" w:rsidR="00A357B3" w:rsidRDefault="00A357B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02D7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02D78">
              <w:rPr>
                <w:b/>
                <w:bCs/>
                <w:noProof/>
              </w:rPr>
              <w:t>9</w:t>
            </w:r>
            <w:r>
              <w:rPr>
                <w:b/>
                <w:bCs/>
                <w:sz w:val="24"/>
                <w:szCs w:val="24"/>
              </w:rPr>
              <w:fldChar w:fldCharType="end"/>
            </w:r>
          </w:p>
        </w:sdtContent>
      </w:sdt>
    </w:sdtContent>
  </w:sdt>
  <w:p w14:paraId="5491041C" w14:textId="77777777" w:rsidR="00A357B3" w:rsidRDefault="00A357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2793D" w14:textId="77777777" w:rsidR="00511978" w:rsidRDefault="00511978" w:rsidP="00A357B3">
      <w:r>
        <w:separator/>
      </w:r>
    </w:p>
  </w:footnote>
  <w:footnote w:type="continuationSeparator" w:id="0">
    <w:p w14:paraId="33B355D4" w14:textId="77777777" w:rsidR="00511978" w:rsidRDefault="00511978" w:rsidP="00A35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F23"/>
    <w:multiLevelType w:val="hybridMultilevel"/>
    <w:tmpl w:val="F9C46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8F3E20"/>
    <w:multiLevelType w:val="hybridMultilevel"/>
    <w:tmpl w:val="47B8BA9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A5B24"/>
    <w:multiLevelType w:val="hybridMultilevel"/>
    <w:tmpl w:val="8332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57DB7"/>
    <w:multiLevelType w:val="multilevel"/>
    <w:tmpl w:val="F3E43C4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E645081"/>
    <w:multiLevelType w:val="hybridMultilevel"/>
    <w:tmpl w:val="62D04A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3633B8"/>
    <w:multiLevelType w:val="hybridMultilevel"/>
    <w:tmpl w:val="299ED8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54704"/>
    <w:multiLevelType w:val="hybridMultilevel"/>
    <w:tmpl w:val="F7D8E5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6821D9F"/>
    <w:multiLevelType w:val="hybridMultilevel"/>
    <w:tmpl w:val="1A4E7A96"/>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3D51E1"/>
    <w:multiLevelType w:val="hybridMultilevel"/>
    <w:tmpl w:val="BE8C77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A7B7B9D"/>
    <w:multiLevelType w:val="hybridMultilevel"/>
    <w:tmpl w:val="2152C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EB3723"/>
    <w:multiLevelType w:val="hybridMultilevel"/>
    <w:tmpl w:val="68167EB2"/>
    <w:lvl w:ilvl="0" w:tplc="313AF0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C32244"/>
    <w:multiLevelType w:val="hybridMultilevel"/>
    <w:tmpl w:val="15F26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2CA2DA8"/>
    <w:multiLevelType w:val="singleLevel"/>
    <w:tmpl w:val="0344B048"/>
    <w:lvl w:ilvl="0">
      <w:start w:val="1"/>
      <w:numFmt w:val="bullet"/>
      <w:pStyle w:val="Tablebullet"/>
      <w:lvlText w:val=""/>
      <w:lvlJc w:val="left"/>
      <w:pPr>
        <w:tabs>
          <w:tab w:val="num" w:pos="360"/>
        </w:tabs>
        <w:ind w:left="360" w:hanging="360"/>
      </w:pPr>
      <w:rPr>
        <w:rFonts w:ascii="Wingdings" w:hAnsi="Wingdings" w:hint="default"/>
        <w:sz w:val="18"/>
      </w:rPr>
    </w:lvl>
  </w:abstractNum>
  <w:abstractNum w:abstractNumId="13" w15:restartNumberingAfterBreak="0">
    <w:nsid w:val="33F3200E"/>
    <w:multiLevelType w:val="hybridMultilevel"/>
    <w:tmpl w:val="C5E2F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570144"/>
    <w:multiLevelType w:val="hybridMultilevel"/>
    <w:tmpl w:val="8E084550"/>
    <w:lvl w:ilvl="0" w:tplc="007A8D20">
      <w:start w:val="1"/>
      <w:numFmt w:val="bullet"/>
      <w:pStyle w:val="Bullet"/>
      <w:lvlText w:val=""/>
      <w:lvlJc w:val="left"/>
      <w:pPr>
        <w:tabs>
          <w:tab w:val="num" w:pos="360"/>
        </w:tabs>
        <w:ind w:left="360" w:hanging="360"/>
      </w:pPr>
      <w:rPr>
        <w:rFonts w:ascii="Wingdings" w:hAnsi="Wingdings" w:hint="default"/>
        <w:sz w:val="18"/>
      </w:rPr>
    </w:lvl>
    <w:lvl w:ilvl="1" w:tplc="71D2E6A0">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202C26"/>
    <w:multiLevelType w:val="hybridMultilevel"/>
    <w:tmpl w:val="BE8207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9825B1"/>
    <w:multiLevelType w:val="hybridMultilevel"/>
    <w:tmpl w:val="5D04F0D8"/>
    <w:lvl w:ilvl="0" w:tplc="ED9066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02A9B"/>
    <w:multiLevelType w:val="hybridMultilevel"/>
    <w:tmpl w:val="6894893C"/>
    <w:lvl w:ilvl="0" w:tplc="DCCC10A2">
      <w:start w:val="1"/>
      <w:numFmt w:val="low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F62430D"/>
    <w:multiLevelType w:val="multilevel"/>
    <w:tmpl w:val="F3E43C4E"/>
    <w:lvl w:ilvl="0">
      <w:start w:val="1"/>
      <w:numFmt w:val="decimal"/>
      <w:lvlText w:val="%1."/>
      <w:lvlJc w:val="left"/>
      <w:pPr>
        <w:ind w:left="792" w:hanging="360"/>
      </w:pPr>
      <w:rPr>
        <w:rFonts w:hint="default"/>
      </w:rPr>
    </w:lvl>
    <w:lvl w:ilvl="1" w:tentative="1">
      <w:start w:val="1"/>
      <w:numFmt w:val="lowerLetter"/>
      <w:lvlText w:val="%2."/>
      <w:lvlJc w:val="left"/>
      <w:pPr>
        <w:ind w:left="1512" w:hanging="360"/>
      </w:pPr>
    </w:lvl>
    <w:lvl w:ilvl="2" w:tentative="1">
      <w:start w:val="1"/>
      <w:numFmt w:val="lowerRoman"/>
      <w:lvlText w:val="%3."/>
      <w:lvlJc w:val="right"/>
      <w:pPr>
        <w:ind w:left="2232" w:hanging="180"/>
      </w:pPr>
    </w:lvl>
    <w:lvl w:ilvl="3" w:tentative="1">
      <w:start w:val="1"/>
      <w:numFmt w:val="decimal"/>
      <w:lvlText w:val="%4."/>
      <w:lvlJc w:val="left"/>
      <w:pPr>
        <w:ind w:left="2952" w:hanging="360"/>
      </w:pPr>
    </w:lvl>
    <w:lvl w:ilvl="4" w:tentative="1">
      <w:start w:val="1"/>
      <w:numFmt w:val="lowerLetter"/>
      <w:lvlText w:val="%5."/>
      <w:lvlJc w:val="left"/>
      <w:pPr>
        <w:ind w:left="3672" w:hanging="360"/>
      </w:pPr>
    </w:lvl>
    <w:lvl w:ilvl="5" w:tentative="1">
      <w:start w:val="1"/>
      <w:numFmt w:val="lowerRoman"/>
      <w:lvlText w:val="%6."/>
      <w:lvlJc w:val="right"/>
      <w:pPr>
        <w:ind w:left="4392" w:hanging="180"/>
      </w:pPr>
    </w:lvl>
    <w:lvl w:ilvl="6" w:tentative="1">
      <w:start w:val="1"/>
      <w:numFmt w:val="decimal"/>
      <w:lvlText w:val="%7."/>
      <w:lvlJc w:val="left"/>
      <w:pPr>
        <w:ind w:left="5112" w:hanging="360"/>
      </w:pPr>
    </w:lvl>
    <w:lvl w:ilvl="7" w:tentative="1">
      <w:start w:val="1"/>
      <w:numFmt w:val="lowerLetter"/>
      <w:lvlText w:val="%8."/>
      <w:lvlJc w:val="left"/>
      <w:pPr>
        <w:ind w:left="5832" w:hanging="360"/>
      </w:pPr>
    </w:lvl>
    <w:lvl w:ilvl="8" w:tentative="1">
      <w:start w:val="1"/>
      <w:numFmt w:val="lowerRoman"/>
      <w:lvlText w:val="%9."/>
      <w:lvlJc w:val="right"/>
      <w:pPr>
        <w:ind w:left="6552" w:hanging="180"/>
      </w:pPr>
    </w:lvl>
  </w:abstractNum>
  <w:abstractNum w:abstractNumId="19" w15:restartNumberingAfterBreak="0">
    <w:nsid w:val="40677AC5"/>
    <w:multiLevelType w:val="hybridMultilevel"/>
    <w:tmpl w:val="8BCCA37A"/>
    <w:lvl w:ilvl="0" w:tplc="1D129486">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822076"/>
    <w:multiLevelType w:val="hybridMultilevel"/>
    <w:tmpl w:val="27CC2C16"/>
    <w:lvl w:ilvl="0" w:tplc="960236D4">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702F51"/>
    <w:multiLevelType w:val="hybridMultilevel"/>
    <w:tmpl w:val="26165B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C2556B"/>
    <w:multiLevelType w:val="hybridMultilevel"/>
    <w:tmpl w:val="3F46DC5C"/>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3" w15:restartNumberingAfterBreak="0">
    <w:nsid w:val="490D299F"/>
    <w:multiLevelType w:val="hybridMultilevel"/>
    <w:tmpl w:val="1CAC7DC0"/>
    <w:lvl w:ilvl="0" w:tplc="FFFFFFFF">
      <w:start w:val="1"/>
      <w:numFmt w:val="upperLetter"/>
      <w:lvlText w:val="%1."/>
      <w:lvlJc w:val="left"/>
      <w:pPr>
        <w:tabs>
          <w:tab w:val="num" w:pos="1080"/>
        </w:tabs>
        <w:ind w:left="1080" w:hanging="720"/>
      </w:pPr>
      <w:rPr>
        <w:rFonts w:hint="default"/>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AB951EE"/>
    <w:multiLevelType w:val="hybridMultilevel"/>
    <w:tmpl w:val="327C28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442A10"/>
    <w:multiLevelType w:val="hybridMultilevel"/>
    <w:tmpl w:val="B16AD1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BAC416D"/>
    <w:multiLevelType w:val="hybridMultilevel"/>
    <w:tmpl w:val="0270D8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DDA611D"/>
    <w:multiLevelType w:val="hybridMultilevel"/>
    <w:tmpl w:val="BD12F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344A29"/>
    <w:multiLevelType w:val="hybridMultilevel"/>
    <w:tmpl w:val="9EBAB084"/>
    <w:lvl w:ilvl="0" w:tplc="93CA4524">
      <w:start w:val="1"/>
      <w:numFmt w:val="bullet"/>
      <w:lvlText w:val=""/>
      <w:lvlJc w:val="left"/>
      <w:pPr>
        <w:ind w:left="1060" w:hanging="360"/>
      </w:pPr>
      <w:rPr>
        <w:rFonts w:ascii="Wingdings" w:hAnsi="Wingdings" w:hint="default"/>
        <w:sz w:val="18"/>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9" w15:restartNumberingAfterBreak="0">
    <w:nsid w:val="5640206D"/>
    <w:multiLevelType w:val="hybridMultilevel"/>
    <w:tmpl w:val="7B7013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B96767"/>
    <w:multiLevelType w:val="hybridMultilevel"/>
    <w:tmpl w:val="6A68B1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F45E8F"/>
    <w:multiLevelType w:val="hybridMultilevel"/>
    <w:tmpl w:val="AA3402A6"/>
    <w:lvl w:ilvl="0" w:tplc="D6CE433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C0768"/>
    <w:multiLevelType w:val="hybridMultilevel"/>
    <w:tmpl w:val="A12A4394"/>
    <w:lvl w:ilvl="0" w:tplc="93CA452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B618D3"/>
    <w:multiLevelType w:val="hybridMultilevel"/>
    <w:tmpl w:val="093A5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1B5FE8"/>
    <w:multiLevelType w:val="multilevel"/>
    <w:tmpl w:val="F3E43C4E"/>
    <w:lvl w:ilvl="0">
      <w:start w:val="1"/>
      <w:numFmt w:val="decimal"/>
      <w:lvlText w:val="%1."/>
      <w:lvlJc w:val="left"/>
      <w:pPr>
        <w:ind w:left="738" w:hanging="360"/>
      </w:pPr>
      <w:rPr>
        <w:rFonts w:hint="default"/>
      </w:rPr>
    </w:lvl>
    <w:lvl w:ilvl="1" w:tentative="1">
      <w:start w:val="1"/>
      <w:numFmt w:val="lowerLetter"/>
      <w:lvlText w:val="%2."/>
      <w:lvlJc w:val="left"/>
      <w:pPr>
        <w:ind w:left="1458" w:hanging="360"/>
      </w:pPr>
    </w:lvl>
    <w:lvl w:ilvl="2" w:tentative="1">
      <w:start w:val="1"/>
      <w:numFmt w:val="lowerRoman"/>
      <w:lvlText w:val="%3."/>
      <w:lvlJc w:val="right"/>
      <w:pPr>
        <w:ind w:left="2178" w:hanging="180"/>
      </w:pPr>
    </w:lvl>
    <w:lvl w:ilvl="3" w:tentative="1">
      <w:start w:val="1"/>
      <w:numFmt w:val="decimal"/>
      <w:lvlText w:val="%4."/>
      <w:lvlJc w:val="left"/>
      <w:pPr>
        <w:ind w:left="2898" w:hanging="360"/>
      </w:pPr>
    </w:lvl>
    <w:lvl w:ilvl="4" w:tentative="1">
      <w:start w:val="1"/>
      <w:numFmt w:val="lowerLetter"/>
      <w:lvlText w:val="%5."/>
      <w:lvlJc w:val="left"/>
      <w:pPr>
        <w:ind w:left="3618" w:hanging="360"/>
      </w:pPr>
    </w:lvl>
    <w:lvl w:ilvl="5" w:tentative="1">
      <w:start w:val="1"/>
      <w:numFmt w:val="lowerRoman"/>
      <w:lvlText w:val="%6."/>
      <w:lvlJc w:val="right"/>
      <w:pPr>
        <w:ind w:left="4338" w:hanging="180"/>
      </w:pPr>
    </w:lvl>
    <w:lvl w:ilvl="6" w:tentative="1">
      <w:start w:val="1"/>
      <w:numFmt w:val="decimal"/>
      <w:lvlText w:val="%7."/>
      <w:lvlJc w:val="left"/>
      <w:pPr>
        <w:ind w:left="5058" w:hanging="360"/>
      </w:pPr>
    </w:lvl>
    <w:lvl w:ilvl="7" w:tentative="1">
      <w:start w:val="1"/>
      <w:numFmt w:val="lowerLetter"/>
      <w:lvlText w:val="%8."/>
      <w:lvlJc w:val="left"/>
      <w:pPr>
        <w:ind w:left="5778" w:hanging="360"/>
      </w:pPr>
    </w:lvl>
    <w:lvl w:ilvl="8" w:tentative="1">
      <w:start w:val="1"/>
      <w:numFmt w:val="lowerRoman"/>
      <w:lvlText w:val="%9."/>
      <w:lvlJc w:val="right"/>
      <w:pPr>
        <w:ind w:left="6498" w:hanging="180"/>
      </w:pPr>
    </w:lvl>
  </w:abstractNum>
  <w:abstractNum w:abstractNumId="35" w15:restartNumberingAfterBreak="0">
    <w:nsid w:val="758B1D75"/>
    <w:multiLevelType w:val="hybridMultilevel"/>
    <w:tmpl w:val="9C48F5D6"/>
    <w:lvl w:ilvl="0" w:tplc="93CA4524">
      <w:start w:val="1"/>
      <w:numFmt w:val="bullet"/>
      <w:lvlText w:val=""/>
      <w:lvlJc w:val="left"/>
      <w:pPr>
        <w:tabs>
          <w:tab w:val="num" w:pos="360"/>
        </w:tabs>
        <w:ind w:left="360" w:hanging="360"/>
      </w:pPr>
      <w:rPr>
        <w:rFonts w:ascii="Wingdings" w:hAnsi="Wingdings" w:hint="default"/>
        <w:sz w:val="18"/>
      </w:rPr>
    </w:lvl>
    <w:lvl w:ilvl="1" w:tplc="04090003">
      <w:start w:val="1"/>
      <w:numFmt w:val="bullet"/>
      <w:lvlText w:val="n"/>
      <w:lvlJc w:val="left"/>
      <w:pPr>
        <w:tabs>
          <w:tab w:val="num" w:pos="340"/>
        </w:tabs>
        <w:ind w:left="340" w:hanging="340"/>
      </w:pPr>
      <w:rPr>
        <w:rFonts w:ascii="Wingdings" w:hAnsi="Wingdings"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02214A"/>
    <w:multiLevelType w:val="hybridMultilevel"/>
    <w:tmpl w:val="95D806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792007"/>
    <w:multiLevelType w:val="hybridMultilevel"/>
    <w:tmpl w:val="BA04C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10"/>
  </w:num>
  <w:num w:numId="4">
    <w:abstractNumId w:val="20"/>
  </w:num>
  <w:num w:numId="5">
    <w:abstractNumId w:val="19"/>
  </w:num>
  <w:num w:numId="6">
    <w:abstractNumId w:val="5"/>
  </w:num>
  <w:num w:numId="7">
    <w:abstractNumId w:val="12"/>
  </w:num>
  <w:num w:numId="8">
    <w:abstractNumId w:val="1"/>
  </w:num>
  <w:num w:numId="9">
    <w:abstractNumId w:val="25"/>
  </w:num>
  <w:num w:numId="10">
    <w:abstractNumId w:val="29"/>
  </w:num>
  <w:num w:numId="11">
    <w:abstractNumId w:val="33"/>
  </w:num>
  <w:num w:numId="12">
    <w:abstractNumId w:val="30"/>
  </w:num>
  <w:num w:numId="13">
    <w:abstractNumId w:val="22"/>
  </w:num>
  <w:num w:numId="14">
    <w:abstractNumId w:val="36"/>
  </w:num>
  <w:num w:numId="15">
    <w:abstractNumId w:val="0"/>
  </w:num>
  <w:num w:numId="16">
    <w:abstractNumId w:val="15"/>
  </w:num>
  <w:num w:numId="17">
    <w:abstractNumId w:val="6"/>
  </w:num>
  <w:num w:numId="18">
    <w:abstractNumId w:val="14"/>
  </w:num>
  <w:num w:numId="19">
    <w:abstractNumId w:val="35"/>
  </w:num>
  <w:num w:numId="20">
    <w:abstractNumId w:val="37"/>
  </w:num>
  <w:num w:numId="21">
    <w:abstractNumId w:val="21"/>
  </w:num>
  <w:num w:numId="22">
    <w:abstractNumId w:val="31"/>
  </w:num>
  <w:num w:numId="23">
    <w:abstractNumId w:val="8"/>
  </w:num>
  <w:num w:numId="24">
    <w:abstractNumId w:val="23"/>
  </w:num>
  <w:num w:numId="25">
    <w:abstractNumId w:val="16"/>
  </w:num>
  <w:num w:numId="26">
    <w:abstractNumId w:val="17"/>
  </w:num>
  <w:num w:numId="27">
    <w:abstractNumId w:val="11"/>
  </w:num>
  <w:num w:numId="28">
    <w:abstractNumId w:val="26"/>
  </w:num>
  <w:num w:numId="29">
    <w:abstractNumId w:val="2"/>
  </w:num>
  <w:num w:numId="30">
    <w:abstractNumId w:val="32"/>
  </w:num>
  <w:num w:numId="31">
    <w:abstractNumId w:val="28"/>
  </w:num>
  <w:num w:numId="32">
    <w:abstractNumId w:val="7"/>
  </w:num>
  <w:num w:numId="33">
    <w:abstractNumId w:val="24"/>
  </w:num>
  <w:num w:numId="34">
    <w:abstractNumId w:val="18"/>
  </w:num>
  <w:num w:numId="35">
    <w:abstractNumId w:val="34"/>
  </w:num>
  <w:num w:numId="36">
    <w:abstractNumId w:val="3"/>
  </w:num>
  <w:num w:numId="37">
    <w:abstractNumId w:val="13"/>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504E"/>
    <w:rsid w:val="000013D1"/>
    <w:rsid w:val="000157D5"/>
    <w:rsid w:val="0004796F"/>
    <w:rsid w:val="00086C23"/>
    <w:rsid w:val="00091B77"/>
    <w:rsid w:val="000C6E83"/>
    <w:rsid w:val="000D0AB2"/>
    <w:rsid w:val="000D1B6B"/>
    <w:rsid w:val="000E298F"/>
    <w:rsid w:val="000F5062"/>
    <w:rsid w:val="000F798E"/>
    <w:rsid w:val="00121ABE"/>
    <w:rsid w:val="00123D99"/>
    <w:rsid w:val="001338D6"/>
    <w:rsid w:val="001377F0"/>
    <w:rsid w:val="00143A40"/>
    <w:rsid w:val="00144AC0"/>
    <w:rsid w:val="00147200"/>
    <w:rsid w:val="001856FA"/>
    <w:rsid w:val="001934A0"/>
    <w:rsid w:val="001A69A0"/>
    <w:rsid w:val="001B0A7B"/>
    <w:rsid w:val="001C145B"/>
    <w:rsid w:val="001C1AAB"/>
    <w:rsid w:val="001C6F64"/>
    <w:rsid w:val="00202F2D"/>
    <w:rsid w:val="00203A59"/>
    <w:rsid w:val="00205808"/>
    <w:rsid w:val="002200F5"/>
    <w:rsid w:val="00262E46"/>
    <w:rsid w:val="002763FF"/>
    <w:rsid w:val="00283AEF"/>
    <w:rsid w:val="0029154C"/>
    <w:rsid w:val="002A02E6"/>
    <w:rsid w:val="002A2214"/>
    <w:rsid w:val="002C2361"/>
    <w:rsid w:val="002C46A8"/>
    <w:rsid w:val="002C56AF"/>
    <w:rsid w:val="002D0409"/>
    <w:rsid w:val="002D0A46"/>
    <w:rsid w:val="002D0C10"/>
    <w:rsid w:val="002D4E9B"/>
    <w:rsid w:val="002F19AC"/>
    <w:rsid w:val="002F7730"/>
    <w:rsid w:val="002F7CF3"/>
    <w:rsid w:val="0030122E"/>
    <w:rsid w:val="00311346"/>
    <w:rsid w:val="003252D5"/>
    <w:rsid w:val="00330A4B"/>
    <w:rsid w:val="00346347"/>
    <w:rsid w:val="003501ED"/>
    <w:rsid w:val="00351380"/>
    <w:rsid w:val="00355A1B"/>
    <w:rsid w:val="00370FD6"/>
    <w:rsid w:val="00374255"/>
    <w:rsid w:val="00383D57"/>
    <w:rsid w:val="00385B75"/>
    <w:rsid w:val="00391BF1"/>
    <w:rsid w:val="003A3E69"/>
    <w:rsid w:val="003A73E2"/>
    <w:rsid w:val="003B3389"/>
    <w:rsid w:val="003C3E6F"/>
    <w:rsid w:val="003C7879"/>
    <w:rsid w:val="003D4EAD"/>
    <w:rsid w:val="004218D5"/>
    <w:rsid w:val="00424295"/>
    <w:rsid w:val="00431590"/>
    <w:rsid w:val="004371AA"/>
    <w:rsid w:val="004517C4"/>
    <w:rsid w:val="004565B5"/>
    <w:rsid w:val="004707A4"/>
    <w:rsid w:val="004C6D57"/>
    <w:rsid w:val="004F3E76"/>
    <w:rsid w:val="004F6CDC"/>
    <w:rsid w:val="00502A9D"/>
    <w:rsid w:val="00503A61"/>
    <w:rsid w:val="0050609A"/>
    <w:rsid w:val="00511262"/>
    <w:rsid w:val="00511978"/>
    <w:rsid w:val="005163C2"/>
    <w:rsid w:val="005169CF"/>
    <w:rsid w:val="00537880"/>
    <w:rsid w:val="005437D1"/>
    <w:rsid w:val="00556097"/>
    <w:rsid w:val="00560EAD"/>
    <w:rsid w:val="005638B5"/>
    <w:rsid w:val="00564B80"/>
    <w:rsid w:val="00581161"/>
    <w:rsid w:val="00582AA5"/>
    <w:rsid w:val="00583F00"/>
    <w:rsid w:val="00593549"/>
    <w:rsid w:val="00596BA2"/>
    <w:rsid w:val="005A0BD6"/>
    <w:rsid w:val="005D5F58"/>
    <w:rsid w:val="005D635B"/>
    <w:rsid w:val="005E7635"/>
    <w:rsid w:val="00627F11"/>
    <w:rsid w:val="00657D1E"/>
    <w:rsid w:val="00657EE5"/>
    <w:rsid w:val="006609DE"/>
    <w:rsid w:val="00670FF4"/>
    <w:rsid w:val="006727EC"/>
    <w:rsid w:val="00685B14"/>
    <w:rsid w:val="006A187F"/>
    <w:rsid w:val="006A27FF"/>
    <w:rsid w:val="006B00AF"/>
    <w:rsid w:val="006B02B8"/>
    <w:rsid w:val="006B0B1D"/>
    <w:rsid w:val="006C173D"/>
    <w:rsid w:val="006D26B6"/>
    <w:rsid w:val="006E0C41"/>
    <w:rsid w:val="006E27BD"/>
    <w:rsid w:val="006E6D13"/>
    <w:rsid w:val="006F02BA"/>
    <w:rsid w:val="00707CD3"/>
    <w:rsid w:val="007274B6"/>
    <w:rsid w:val="007411B1"/>
    <w:rsid w:val="00747438"/>
    <w:rsid w:val="007638A5"/>
    <w:rsid w:val="0077083E"/>
    <w:rsid w:val="0077280C"/>
    <w:rsid w:val="00791FC7"/>
    <w:rsid w:val="007A7EC4"/>
    <w:rsid w:val="007B3F4C"/>
    <w:rsid w:val="007C319E"/>
    <w:rsid w:val="007F48CA"/>
    <w:rsid w:val="00823283"/>
    <w:rsid w:val="008241DB"/>
    <w:rsid w:val="00834C5C"/>
    <w:rsid w:val="008354B7"/>
    <w:rsid w:val="00844DC0"/>
    <w:rsid w:val="0084637C"/>
    <w:rsid w:val="0084681D"/>
    <w:rsid w:val="00855503"/>
    <w:rsid w:val="0085660F"/>
    <w:rsid w:val="0088090E"/>
    <w:rsid w:val="008A470E"/>
    <w:rsid w:val="008B6FF8"/>
    <w:rsid w:val="008C3519"/>
    <w:rsid w:val="008D5D5E"/>
    <w:rsid w:val="008E1FBB"/>
    <w:rsid w:val="008E356A"/>
    <w:rsid w:val="008F33B6"/>
    <w:rsid w:val="0090504E"/>
    <w:rsid w:val="0092381B"/>
    <w:rsid w:val="00925BD4"/>
    <w:rsid w:val="00947D9F"/>
    <w:rsid w:val="00950E46"/>
    <w:rsid w:val="00957DD5"/>
    <w:rsid w:val="009644F3"/>
    <w:rsid w:val="0098288C"/>
    <w:rsid w:val="009905EC"/>
    <w:rsid w:val="00994A1C"/>
    <w:rsid w:val="009B39D2"/>
    <w:rsid w:val="009C0EFC"/>
    <w:rsid w:val="009D512A"/>
    <w:rsid w:val="009F3606"/>
    <w:rsid w:val="009F6844"/>
    <w:rsid w:val="00A030BD"/>
    <w:rsid w:val="00A060E3"/>
    <w:rsid w:val="00A06B0D"/>
    <w:rsid w:val="00A119EE"/>
    <w:rsid w:val="00A11EE7"/>
    <w:rsid w:val="00A25E60"/>
    <w:rsid w:val="00A27F59"/>
    <w:rsid w:val="00A357B3"/>
    <w:rsid w:val="00A65E1D"/>
    <w:rsid w:val="00A66CEE"/>
    <w:rsid w:val="00A772BC"/>
    <w:rsid w:val="00A80A83"/>
    <w:rsid w:val="00A9403A"/>
    <w:rsid w:val="00A94F66"/>
    <w:rsid w:val="00A95A12"/>
    <w:rsid w:val="00AC6015"/>
    <w:rsid w:val="00AF292D"/>
    <w:rsid w:val="00B02D78"/>
    <w:rsid w:val="00B13B7C"/>
    <w:rsid w:val="00B21C3C"/>
    <w:rsid w:val="00B26199"/>
    <w:rsid w:val="00B26B36"/>
    <w:rsid w:val="00B33C87"/>
    <w:rsid w:val="00B3609B"/>
    <w:rsid w:val="00B43D65"/>
    <w:rsid w:val="00B53AF3"/>
    <w:rsid w:val="00B66624"/>
    <w:rsid w:val="00B8500C"/>
    <w:rsid w:val="00B977D3"/>
    <w:rsid w:val="00BB5521"/>
    <w:rsid w:val="00BB6AEC"/>
    <w:rsid w:val="00BC0FD5"/>
    <w:rsid w:val="00BD325E"/>
    <w:rsid w:val="00BD430F"/>
    <w:rsid w:val="00BD44D3"/>
    <w:rsid w:val="00BE6B30"/>
    <w:rsid w:val="00BE77B6"/>
    <w:rsid w:val="00C233A1"/>
    <w:rsid w:val="00C35963"/>
    <w:rsid w:val="00C4055E"/>
    <w:rsid w:val="00C46298"/>
    <w:rsid w:val="00C5215F"/>
    <w:rsid w:val="00C6233F"/>
    <w:rsid w:val="00C66913"/>
    <w:rsid w:val="00C72A8F"/>
    <w:rsid w:val="00C736EC"/>
    <w:rsid w:val="00C92B6F"/>
    <w:rsid w:val="00C97E8C"/>
    <w:rsid w:val="00CA250B"/>
    <w:rsid w:val="00CB0333"/>
    <w:rsid w:val="00CB36E5"/>
    <w:rsid w:val="00CB5E05"/>
    <w:rsid w:val="00CC0D22"/>
    <w:rsid w:val="00CE7B2D"/>
    <w:rsid w:val="00D21AB7"/>
    <w:rsid w:val="00D253A3"/>
    <w:rsid w:val="00D37B8F"/>
    <w:rsid w:val="00D50514"/>
    <w:rsid w:val="00D70B02"/>
    <w:rsid w:val="00D755FD"/>
    <w:rsid w:val="00D91091"/>
    <w:rsid w:val="00DB0903"/>
    <w:rsid w:val="00DB529C"/>
    <w:rsid w:val="00DC003E"/>
    <w:rsid w:val="00DD0B55"/>
    <w:rsid w:val="00DD548E"/>
    <w:rsid w:val="00DF071E"/>
    <w:rsid w:val="00DF25FE"/>
    <w:rsid w:val="00E00272"/>
    <w:rsid w:val="00E06EAC"/>
    <w:rsid w:val="00E14148"/>
    <w:rsid w:val="00E14617"/>
    <w:rsid w:val="00E24201"/>
    <w:rsid w:val="00E33BC1"/>
    <w:rsid w:val="00E377DE"/>
    <w:rsid w:val="00E40A55"/>
    <w:rsid w:val="00E425E0"/>
    <w:rsid w:val="00E44652"/>
    <w:rsid w:val="00E6013D"/>
    <w:rsid w:val="00E6411F"/>
    <w:rsid w:val="00E6613B"/>
    <w:rsid w:val="00E70C16"/>
    <w:rsid w:val="00E7311A"/>
    <w:rsid w:val="00E770E3"/>
    <w:rsid w:val="00E96C8E"/>
    <w:rsid w:val="00EA2E5E"/>
    <w:rsid w:val="00EA72F8"/>
    <w:rsid w:val="00EB52CC"/>
    <w:rsid w:val="00EC1F4E"/>
    <w:rsid w:val="00EC2515"/>
    <w:rsid w:val="00ED0D34"/>
    <w:rsid w:val="00EE3AFE"/>
    <w:rsid w:val="00F04B45"/>
    <w:rsid w:val="00F5479B"/>
    <w:rsid w:val="00F61934"/>
    <w:rsid w:val="00F6332E"/>
    <w:rsid w:val="00F63C9D"/>
    <w:rsid w:val="00F732B6"/>
    <w:rsid w:val="00F85CD9"/>
    <w:rsid w:val="00F90DF9"/>
    <w:rsid w:val="00FA027B"/>
    <w:rsid w:val="00FA2909"/>
    <w:rsid w:val="00FA6418"/>
    <w:rsid w:val="00FC5EDA"/>
    <w:rsid w:val="00FD19CD"/>
    <w:rsid w:val="00FE1036"/>
    <w:rsid w:val="00FF23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FC048"/>
  <w15:docId w15:val="{31D78E58-C169-4EDC-9701-7E4257CEA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C1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semiHidden/>
    <w:unhideWhenUsed/>
    <w:qFormat/>
    <w:rsid w:val="009F684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7">
    <w:name w:val="heading 7"/>
    <w:basedOn w:val="Normal"/>
    <w:next w:val="Normal"/>
    <w:link w:val="Heading7Char"/>
    <w:qFormat/>
    <w:rsid w:val="00791FC7"/>
    <w:pPr>
      <w:keepNext/>
      <w:widowControl/>
      <w:autoSpaceDE/>
      <w:autoSpaceDN/>
      <w:adjustRightInd/>
      <w:spacing w:before="120" w:after="120"/>
      <w:jc w:val="both"/>
      <w:outlineLvl w:val="6"/>
    </w:pPr>
    <w:rPr>
      <w:b/>
      <w:bCs/>
      <w:sz w:val="22"/>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0C10"/>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ListParagraph">
    <w:name w:val="List Paragraph"/>
    <w:basedOn w:val="Normal"/>
    <w:uiPriority w:val="34"/>
    <w:qFormat/>
    <w:rsid w:val="005E7635"/>
    <w:pPr>
      <w:ind w:left="720"/>
      <w:contextualSpacing/>
    </w:pPr>
  </w:style>
  <w:style w:type="table" w:styleId="TableGrid">
    <w:name w:val="Table Grid"/>
    <w:basedOn w:val="TableNormal"/>
    <w:rsid w:val="00F54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5479B"/>
    <w:rPr>
      <w:color w:val="0563C1" w:themeColor="hyperlink"/>
      <w:u w:val="single"/>
    </w:rPr>
  </w:style>
  <w:style w:type="paragraph" w:styleId="BalloonText">
    <w:name w:val="Balloon Text"/>
    <w:basedOn w:val="Normal"/>
    <w:link w:val="BalloonTextChar"/>
    <w:uiPriority w:val="99"/>
    <w:semiHidden/>
    <w:unhideWhenUsed/>
    <w:rsid w:val="008E356A"/>
    <w:rPr>
      <w:rFonts w:ascii="Tahoma" w:hAnsi="Tahoma" w:cs="Tahoma"/>
      <w:sz w:val="16"/>
      <w:szCs w:val="16"/>
    </w:rPr>
  </w:style>
  <w:style w:type="character" w:customStyle="1" w:styleId="BalloonTextChar">
    <w:name w:val="Balloon Text Char"/>
    <w:basedOn w:val="DefaultParagraphFont"/>
    <w:link w:val="BalloonText"/>
    <w:uiPriority w:val="99"/>
    <w:semiHidden/>
    <w:rsid w:val="008E356A"/>
    <w:rPr>
      <w:rFonts w:ascii="Tahoma" w:eastAsia="Times New Roman" w:hAnsi="Tahoma" w:cs="Tahoma"/>
      <w:sz w:val="16"/>
      <w:szCs w:val="16"/>
    </w:rPr>
  </w:style>
  <w:style w:type="paragraph" w:customStyle="1" w:styleId="Tabletext">
    <w:name w:val="Table text"/>
    <w:basedOn w:val="Normal"/>
    <w:link w:val="TabletextChar"/>
    <w:rsid w:val="00BB5521"/>
    <w:pPr>
      <w:widowControl/>
      <w:autoSpaceDE/>
      <w:autoSpaceDN/>
      <w:adjustRightInd/>
      <w:spacing w:before="120" w:after="120" w:line="260" w:lineRule="atLeast"/>
    </w:pPr>
    <w:rPr>
      <w:noProof/>
      <w:sz w:val="22"/>
    </w:rPr>
  </w:style>
  <w:style w:type="character" w:customStyle="1" w:styleId="TabletextChar">
    <w:name w:val="Table text Char"/>
    <w:basedOn w:val="DefaultParagraphFont"/>
    <w:link w:val="Tabletext"/>
    <w:rsid w:val="00BB5521"/>
    <w:rPr>
      <w:rFonts w:ascii="Times New Roman" w:eastAsia="Times New Roman" w:hAnsi="Times New Roman" w:cs="Times New Roman"/>
      <w:noProof/>
      <w:szCs w:val="20"/>
    </w:rPr>
  </w:style>
  <w:style w:type="paragraph" w:customStyle="1" w:styleId="BodyText1">
    <w:name w:val="Body_Text_1"/>
    <w:basedOn w:val="Normal"/>
    <w:link w:val="BodyText1Char"/>
    <w:rsid w:val="000D1B6B"/>
    <w:pPr>
      <w:widowControl/>
      <w:autoSpaceDE/>
      <w:autoSpaceDN/>
      <w:adjustRightInd/>
      <w:spacing w:after="240"/>
    </w:pPr>
    <w:rPr>
      <w:sz w:val="22"/>
      <w:szCs w:val="22"/>
      <w:lang w:val="en-GB"/>
    </w:rPr>
  </w:style>
  <w:style w:type="character" w:customStyle="1" w:styleId="BodyText1Char">
    <w:name w:val="Body_Text_1 Char"/>
    <w:basedOn w:val="DefaultParagraphFont"/>
    <w:link w:val="BodyText1"/>
    <w:rsid w:val="000D1B6B"/>
    <w:rPr>
      <w:rFonts w:ascii="Times New Roman" w:eastAsia="Times New Roman" w:hAnsi="Times New Roman" w:cs="Times New Roman"/>
      <w:lang w:val="en-GB"/>
    </w:rPr>
  </w:style>
  <w:style w:type="paragraph" w:customStyle="1" w:styleId="Head2bold">
    <w:name w:val="Head_2_bold"/>
    <w:basedOn w:val="Normal"/>
    <w:rsid w:val="000D1B6B"/>
    <w:pPr>
      <w:widowControl/>
      <w:autoSpaceDE/>
      <w:autoSpaceDN/>
      <w:adjustRightInd/>
      <w:spacing w:before="220" w:after="220"/>
    </w:pPr>
    <w:rPr>
      <w:b/>
      <w:bCs/>
      <w:i/>
      <w:iCs/>
      <w:sz w:val="24"/>
      <w:szCs w:val="24"/>
      <w:lang w:val="en-GB"/>
    </w:rPr>
  </w:style>
  <w:style w:type="paragraph" w:customStyle="1" w:styleId="Tablebullet">
    <w:name w:val="Table bullet"/>
    <w:basedOn w:val="Tabletext"/>
    <w:rsid w:val="000D1B6B"/>
    <w:pPr>
      <w:numPr>
        <w:numId w:val="7"/>
      </w:numPr>
      <w:tabs>
        <w:tab w:val="clear" w:pos="360"/>
        <w:tab w:val="num" w:pos="340"/>
      </w:tabs>
      <w:spacing w:before="60"/>
      <w:ind w:left="340" w:hanging="340"/>
    </w:pPr>
  </w:style>
  <w:style w:type="paragraph" w:customStyle="1" w:styleId="Text">
    <w:name w:val="Text"/>
    <w:link w:val="TextChar"/>
    <w:semiHidden/>
    <w:rsid w:val="009905EC"/>
    <w:pPr>
      <w:spacing w:before="240" w:after="0" w:line="260" w:lineRule="atLeast"/>
    </w:pPr>
    <w:rPr>
      <w:rFonts w:ascii="Times New Roman" w:eastAsia="Times New Roman" w:hAnsi="Times New Roman" w:cs="Times New Roman"/>
      <w:szCs w:val="20"/>
    </w:rPr>
  </w:style>
  <w:style w:type="character" w:customStyle="1" w:styleId="TextChar">
    <w:name w:val="Text Char"/>
    <w:basedOn w:val="DefaultParagraphFont"/>
    <w:link w:val="Text"/>
    <w:rsid w:val="009905EC"/>
    <w:rPr>
      <w:rFonts w:ascii="Times New Roman" w:eastAsia="Times New Roman" w:hAnsi="Times New Roman" w:cs="Times New Roman"/>
      <w:szCs w:val="20"/>
    </w:rPr>
  </w:style>
  <w:style w:type="paragraph" w:styleId="TOC5">
    <w:name w:val="toc 5"/>
    <w:basedOn w:val="Normal"/>
    <w:next w:val="Normal"/>
    <w:autoRedefine/>
    <w:semiHidden/>
    <w:rsid w:val="00EC2515"/>
    <w:pPr>
      <w:widowControl/>
      <w:autoSpaceDE/>
      <w:autoSpaceDN/>
      <w:adjustRightInd/>
      <w:spacing w:before="80" w:after="40"/>
    </w:pPr>
    <w:rPr>
      <w:sz w:val="24"/>
      <w:szCs w:val="24"/>
      <w:lang w:val="en-GB"/>
    </w:rPr>
  </w:style>
  <w:style w:type="paragraph" w:customStyle="1" w:styleId="Head2">
    <w:name w:val="Head_2"/>
    <w:basedOn w:val="Header"/>
    <w:rsid w:val="003C3E6F"/>
    <w:pPr>
      <w:widowControl/>
      <w:tabs>
        <w:tab w:val="clear" w:pos="4680"/>
        <w:tab w:val="clear" w:pos="9360"/>
      </w:tabs>
      <w:autoSpaceDE/>
      <w:autoSpaceDN/>
      <w:adjustRightInd/>
      <w:spacing w:before="220" w:after="120"/>
      <w:jc w:val="both"/>
    </w:pPr>
    <w:rPr>
      <w:i/>
      <w:sz w:val="22"/>
      <w:szCs w:val="22"/>
      <w:lang w:val="en-GB"/>
    </w:rPr>
  </w:style>
  <w:style w:type="paragraph" w:styleId="Header">
    <w:name w:val="header"/>
    <w:basedOn w:val="Normal"/>
    <w:link w:val="HeaderChar"/>
    <w:uiPriority w:val="99"/>
    <w:unhideWhenUsed/>
    <w:rsid w:val="003C3E6F"/>
    <w:pPr>
      <w:tabs>
        <w:tab w:val="center" w:pos="4680"/>
        <w:tab w:val="right" w:pos="9360"/>
      </w:tabs>
    </w:pPr>
  </w:style>
  <w:style w:type="character" w:customStyle="1" w:styleId="HeaderChar">
    <w:name w:val="Header Char"/>
    <w:basedOn w:val="DefaultParagraphFont"/>
    <w:link w:val="Header"/>
    <w:uiPriority w:val="99"/>
    <w:rsid w:val="003C3E6F"/>
    <w:rPr>
      <w:rFonts w:ascii="Times New Roman" w:eastAsia="Times New Roman" w:hAnsi="Times New Roman" w:cs="Times New Roman"/>
      <w:sz w:val="20"/>
      <w:szCs w:val="20"/>
    </w:rPr>
  </w:style>
  <w:style w:type="character" w:customStyle="1" w:styleId="Heading7Char">
    <w:name w:val="Heading 7 Char"/>
    <w:basedOn w:val="DefaultParagraphFont"/>
    <w:link w:val="Heading7"/>
    <w:rsid w:val="00791FC7"/>
    <w:rPr>
      <w:rFonts w:ascii="Times New Roman" w:eastAsia="Times New Roman" w:hAnsi="Times New Roman" w:cs="Times New Roman"/>
      <w:b/>
      <w:bCs/>
      <w:szCs w:val="24"/>
      <w:lang w:val="en-GB"/>
    </w:rPr>
  </w:style>
  <w:style w:type="paragraph" w:customStyle="1" w:styleId="TableHead">
    <w:name w:val="Table_Head"/>
    <w:basedOn w:val="BodyText3"/>
    <w:rsid w:val="00791FC7"/>
    <w:pPr>
      <w:widowControl/>
      <w:autoSpaceDE/>
      <w:autoSpaceDN/>
      <w:adjustRightInd/>
      <w:spacing w:before="120"/>
      <w:jc w:val="center"/>
    </w:pPr>
    <w:rPr>
      <w:b/>
      <w:bCs/>
      <w:sz w:val="22"/>
      <w:szCs w:val="22"/>
      <w:lang w:val="en-GB"/>
    </w:rPr>
  </w:style>
  <w:style w:type="paragraph" w:styleId="BodyText3">
    <w:name w:val="Body Text 3"/>
    <w:basedOn w:val="Normal"/>
    <w:link w:val="BodyText3Char"/>
    <w:uiPriority w:val="99"/>
    <w:semiHidden/>
    <w:unhideWhenUsed/>
    <w:rsid w:val="00791FC7"/>
    <w:pPr>
      <w:spacing w:after="120"/>
    </w:pPr>
    <w:rPr>
      <w:sz w:val="16"/>
      <w:szCs w:val="16"/>
    </w:rPr>
  </w:style>
  <w:style w:type="character" w:customStyle="1" w:styleId="BodyText3Char">
    <w:name w:val="Body Text 3 Char"/>
    <w:basedOn w:val="DefaultParagraphFont"/>
    <w:link w:val="BodyText3"/>
    <w:uiPriority w:val="99"/>
    <w:semiHidden/>
    <w:rsid w:val="00791FC7"/>
    <w:rPr>
      <w:rFonts w:ascii="Times New Roman" w:eastAsia="Times New Roman" w:hAnsi="Times New Roman" w:cs="Times New Roman"/>
      <w:sz w:val="16"/>
      <w:szCs w:val="16"/>
    </w:rPr>
  </w:style>
  <w:style w:type="paragraph" w:styleId="BodyText2">
    <w:name w:val="Body Text 2"/>
    <w:basedOn w:val="Normal"/>
    <w:link w:val="BodyText2Char"/>
    <w:uiPriority w:val="99"/>
    <w:semiHidden/>
    <w:unhideWhenUsed/>
    <w:rsid w:val="009C0EFC"/>
    <w:pPr>
      <w:spacing w:after="120" w:line="480" w:lineRule="auto"/>
    </w:pPr>
  </w:style>
  <w:style w:type="character" w:customStyle="1" w:styleId="BodyText2Char">
    <w:name w:val="Body Text 2 Char"/>
    <w:basedOn w:val="DefaultParagraphFont"/>
    <w:link w:val="BodyText2"/>
    <w:uiPriority w:val="99"/>
    <w:semiHidden/>
    <w:rsid w:val="009C0EFC"/>
    <w:rPr>
      <w:rFonts w:ascii="Times New Roman" w:eastAsia="Times New Roman" w:hAnsi="Times New Roman" w:cs="Times New Roman"/>
      <w:sz w:val="20"/>
      <w:szCs w:val="20"/>
    </w:rPr>
  </w:style>
  <w:style w:type="paragraph" w:customStyle="1" w:styleId="Bullet">
    <w:name w:val="Bullet"/>
    <w:aliases w:val="bu"/>
    <w:basedOn w:val="Text"/>
    <w:semiHidden/>
    <w:rsid w:val="009C0EFC"/>
    <w:pPr>
      <w:numPr>
        <w:numId w:val="18"/>
      </w:numPr>
      <w:tabs>
        <w:tab w:val="clear" w:pos="360"/>
        <w:tab w:val="num" w:pos="340"/>
      </w:tabs>
      <w:spacing w:before="120" w:after="60"/>
      <w:ind w:left="340" w:hanging="340"/>
    </w:pPr>
  </w:style>
  <w:style w:type="paragraph" w:customStyle="1" w:styleId="TableText0">
    <w:name w:val="Table Text"/>
    <w:basedOn w:val="Normal"/>
    <w:rsid w:val="009C0EFC"/>
    <w:pPr>
      <w:widowControl/>
      <w:autoSpaceDE/>
      <w:autoSpaceDN/>
      <w:adjustRightInd/>
    </w:pPr>
    <w:rPr>
      <w:sz w:val="22"/>
      <w:szCs w:val="24"/>
      <w:lang w:val="en-GB"/>
    </w:rPr>
  </w:style>
  <w:style w:type="paragraph" w:customStyle="1" w:styleId="Client">
    <w:name w:val="Client"/>
    <w:basedOn w:val="Tabletext"/>
    <w:rsid w:val="00685B14"/>
    <w:pPr>
      <w:spacing w:before="60" w:after="60"/>
    </w:pPr>
  </w:style>
  <w:style w:type="character" w:customStyle="1" w:styleId="KAMreference">
    <w:name w:val="KAM reference"/>
    <w:basedOn w:val="DefaultParagraphFont"/>
    <w:semiHidden/>
    <w:rsid w:val="009F6844"/>
    <w:rPr>
      <w:color w:val="FF0000"/>
      <w:u w:val="double"/>
    </w:rPr>
  </w:style>
  <w:style w:type="paragraph" w:customStyle="1" w:styleId="TOCHead2">
    <w:name w:val="TOC_Head_2"/>
    <w:basedOn w:val="Heading2"/>
    <w:link w:val="TOCHead2Char"/>
    <w:rsid w:val="009F6844"/>
    <w:pPr>
      <w:keepLines w:val="0"/>
      <w:widowControl/>
      <w:tabs>
        <w:tab w:val="left" w:pos="720"/>
      </w:tabs>
      <w:autoSpaceDE/>
      <w:autoSpaceDN/>
      <w:adjustRightInd/>
      <w:spacing w:before="0" w:after="120"/>
      <w:ind w:left="720" w:hanging="720"/>
    </w:pPr>
    <w:rPr>
      <w:rFonts w:ascii="Times New Roman" w:eastAsia="Times New Roman" w:hAnsi="Times New Roman" w:cs="Times New Roman"/>
      <w:b/>
      <w:color w:val="auto"/>
      <w:sz w:val="24"/>
      <w:szCs w:val="20"/>
      <w:lang w:val="en-GB"/>
    </w:rPr>
  </w:style>
  <w:style w:type="character" w:customStyle="1" w:styleId="TOCHead2Char">
    <w:name w:val="TOC_Head_2 Char"/>
    <w:basedOn w:val="DefaultParagraphFont"/>
    <w:link w:val="TOCHead2"/>
    <w:rsid w:val="009F6844"/>
    <w:rPr>
      <w:rFonts w:ascii="Times New Roman" w:eastAsia="Times New Roman" w:hAnsi="Times New Roman" w:cs="Times New Roman"/>
      <w:b/>
      <w:sz w:val="24"/>
      <w:szCs w:val="20"/>
      <w:lang w:val="en-GB"/>
    </w:rPr>
  </w:style>
  <w:style w:type="character" w:customStyle="1" w:styleId="BusModel">
    <w:name w:val="Bus Model"/>
    <w:basedOn w:val="DefaultParagraphFont"/>
    <w:rsid w:val="009F6844"/>
    <w:rPr>
      <w:bdr w:val="none" w:sz="0" w:space="0" w:color="auto"/>
      <w:shd w:val="clear" w:color="auto" w:fill="auto"/>
      <w:lang w:val="en-GB"/>
    </w:rPr>
  </w:style>
  <w:style w:type="character" w:customStyle="1" w:styleId="Heading2Char">
    <w:name w:val="Heading 2 Char"/>
    <w:basedOn w:val="DefaultParagraphFont"/>
    <w:link w:val="Heading2"/>
    <w:uiPriority w:val="9"/>
    <w:semiHidden/>
    <w:rsid w:val="009F6844"/>
    <w:rPr>
      <w:rFonts w:asciiTheme="majorHAnsi" w:eastAsiaTheme="majorEastAsia" w:hAnsiTheme="majorHAnsi" w:cstheme="majorBidi"/>
      <w:color w:val="2E74B5" w:themeColor="accent1" w:themeShade="BF"/>
      <w:sz w:val="26"/>
      <w:szCs w:val="26"/>
    </w:rPr>
  </w:style>
  <w:style w:type="paragraph" w:customStyle="1" w:styleId="TOCHead1">
    <w:name w:val="TOC_Head_1"/>
    <w:basedOn w:val="Normal"/>
    <w:rsid w:val="00262E46"/>
    <w:pPr>
      <w:widowControl/>
      <w:tabs>
        <w:tab w:val="left" w:pos="720"/>
      </w:tabs>
      <w:spacing w:after="220"/>
      <w:ind w:left="720" w:hanging="720"/>
    </w:pPr>
    <w:rPr>
      <w:b/>
      <w:sz w:val="28"/>
      <w:szCs w:val="28"/>
      <w:lang w:val="en-GB"/>
    </w:rPr>
  </w:style>
  <w:style w:type="paragraph" w:customStyle="1" w:styleId="Tableheading">
    <w:name w:val="Table heading"/>
    <w:basedOn w:val="Tabletext"/>
    <w:next w:val="Tabletext"/>
    <w:rsid w:val="008E1FBB"/>
    <w:pPr>
      <w:keepNext/>
      <w:spacing w:before="60" w:after="60"/>
    </w:pPr>
    <w:rPr>
      <w:b/>
    </w:rPr>
  </w:style>
  <w:style w:type="paragraph" w:styleId="Footer">
    <w:name w:val="footer"/>
    <w:basedOn w:val="Normal"/>
    <w:link w:val="FooterChar"/>
    <w:uiPriority w:val="99"/>
    <w:rsid w:val="00EE3AFE"/>
    <w:pPr>
      <w:tabs>
        <w:tab w:val="center" w:pos="4320"/>
        <w:tab w:val="right" w:pos="8640"/>
      </w:tabs>
    </w:pPr>
  </w:style>
  <w:style w:type="character" w:customStyle="1" w:styleId="FooterChar">
    <w:name w:val="Footer Char"/>
    <w:basedOn w:val="DefaultParagraphFont"/>
    <w:link w:val="Footer"/>
    <w:uiPriority w:val="99"/>
    <w:rsid w:val="00EE3AF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71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778</TotalTime>
  <Pages>1</Pages>
  <Words>2745</Words>
  <Characters>15650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Jahidul Islam</cp:lastModifiedBy>
  <cp:revision>178</cp:revision>
  <dcterms:created xsi:type="dcterms:W3CDTF">2016-05-19T11:21:00Z</dcterms:created>
  <dcterms:modified xsi:type="dcterms:W3CDTF">2024-08-26T10:57:00Z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05cdc20387af41d71b39a69e63dd505ce06379866c96d07018d575d7eb5f143c</vt:lpwstr>
  </property>
</Properties>
</file>