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5" w:type="dxa"/>
        <w:tblLayout w:type="fixed"/>
        <w:tblLook w:val="0000"/>
      </w:tblPr>
      <w:tblGrid>
        <w:gridCol w:w="3545"/>
        <w:gridCol w:w="2835"/>
        <w:gridCol w:w="2835"/>
      </w:tblGrid>
      <w:tr w:rsidR="00B45654" w:rsidRPr="008E3FD6">
        <w:trPr>
          <w:cantSplit/>
        </w:trPr>
        <w:tc>
          <w:tcPr>
            <w:tcW w:w="6380" w:type="dxa"/>
            <w:gridSpan w:val="2"/>
            <w:tcBorders>
              <w:top w:val="single" w:sz="12" w:space="0" w:color="auto"/>
            </w:tcBorders>
          </w:tcPr>
          <w:p w:rsidR="00B45654" w:rsidRPr="008E3FD6" w:rsidRDefault="00B45654" w:rsidP="00A45E96">
            <w:pPr>
              <w:pStyle w:val="Smalltableheading"/>
              <w:rPr>
                <w:rFonts w:ascii="Cambria" w:hAnsi="Cambria" w:cs="Arial"/>
                <w:noProof w:val="0"/>
                <w:sz w:val="22"/>
                <w:szCs w:val="22"/>
              </w:rPr>
            </w:pPr>
            <w:r w:rsidRPr="008E3FD6">
              <w:rPr>
                <w:rFonts w:ascii="Cambria" w:hAnsi="Cambria" w:cs="Arial"/>
                <w:noProof w:val="0"/>
                <w:sz w:val="22"/>
                <w:szCs w:val="22"/>
              </w:rPr>
              <w:t>Client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B45654" w:rsidRPr="008E3FD6" w:rsidRDefault="00B45654" w:rsidP="00A45E96">
            <w:pPr>
              <w:pStyle w:val="Smalltableheading"/>
              <w:rPr>
                <w:rFonts w:ascii="Cambria" w:hAnsi="Cambria" w:cs="Arial"/>
                <w:noProof w:val="0"/>
                <w:sz w:val="22"/>
                <w:szCs w:val="22"/>
              </w:rPr>
            </w:pPr>
            <w:r w:rsidRPr="008E3FD6">
              <w:rPr>
                <w:rFonts w:ascii="Cambria" w:hAnsi="Cambria" w:cs="Arial"/>
                <w:noProof w:val="0"/>
                <w:sz w:val="22"/>
                <w:szCs w:val="22"/>
              </w:rPr>
              <w:t>Period-end</w:t>
            </w:r>
          </w:p>
        </w:tc>
      </w:tr>
      <w:tr w:rsidR="00B45654" w:rsidRPr="008E3FD6">
        <w:trPr>
          <w:cantSplit/>
        </w:trPr>
        <w:tc>
          <w:tcPr>
            <w:tcW w:w="6380" w:type="dxa"/>
            <w:gridSpan w:val="2"/>
          </w:tcPr>
          <w:p w:rsidR="00B45654" w:rsidRPr="008E3FD6" w:rsidRDefault="00DC53BA" w:rsidP="00A45E96">
            <w:pPr>
              <w:pStyle w:val="Client"/>
              <w:rPr>
                <w:rFonts w:ascii="Cambria" w:hAnsi="Cambria" w:cs="Arial"/>
                <w:szCs w:val="22"/>
                <w:lang w:val="en-US"/>
              </w:rPr>
            </w:pPr>
            <w:r w:rsidRPr="008E3FD6">
              <w:rPr>
                <w:rFonts w:ascii="Cambria" w:hAnsi="Cambria" w:cs="Arial"/>
                <w:szCs w:val="22"/>
                <w:lang w:val="en-US"/>
              </w:rPr>
              <w:t>ABC Bangladesh Limited</w:t>
            </w:r>
          </w:p>
        </w:tc>
        <w:tc>
          <w:tcPr>
            <w:tcW w:w="2835" w:type="dxa"/>
          </w:tcPr>
          <w:p w:rsidR="00B45654" w:rsidRPr="008E3FD6" w:rsidRDefault="00DC53BA" w:rsidP="00327971">
            <w:pPr>
              <w:pStyle w:val="Periodend"/>
              <w:rPr>
                <w:rFonts w:ascii="Cambria" w:hAnsi="Cambria" w:cs="Arial"/>
                <w:szCs w:val="22"/>
                <w:lang w:val="en-US"/>
              </w:rPr>
            </w:pPr>
            <w:r w:rsidRPr="008E3FD6">
              <w:rPr>
                <w:rFonts w:ascii="Cambria" w:hAnsi="Cambria" w:cs="Arial"/>
                <w:szCs w:val="22"/>
                <w:lang w:val="en-US"/>
              </w:rPr>
              <w:t>31 December 2021</w:t>
            </w:r>
          </w:p>
        </w:tc>
      </w:tr>
      <w:tr w:rsidR="00B45654" w:rsidRPr="008E3FD6">
        <w:trPr>
          <w:cantSplit/>
        </w:trPr>
        <w:tc>
          <w:tcPr>
            <w:tcW w:w="3545" w:type="dxa"/>
            <w:tcBorders>
              <w:top w:val="single" w:sz="12" w:space="0" w:color="auto"/>
            </w:tcBorders>
          </w:tcPr>
          <w:p w:rsidR="00B45654" w:rsidRPr="008E3FD6" w:rsidRDefault="00B45654" w:rsidP="00A45E96">
            <w:pPr>
              <w:pStyle w:val="Smalltableheading"/>
              <w:rPr>
                <w:rFonts w:ascii="Cambria" w:hAnsi="Cambria" w:cs="Arial"/>
                <w:noProof w:val="0"/>
                <w:sz w:val="22"/>
                <w:szCs w:val="22"/>
              </w:rPr>
            </w:pPr>
            <w:r w:rsidRPr="008E3FD6">
              <w:rPr>
                <w:rFonts w:ascii="Cambria" w:hAnsi="Cambria" w:cs="Arial"/>
                <w:noProof w:val="0"/>
                <w:sz w:val="22"/>
                <w:szCs w:val="22"/>
              </w:rPr>
              <w:t>Prepared by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B45654" w:rsidRPr="008E3FD6" w:rsidRDefault="00853681" w:rsidP="00A45E96">
            <w:pPr>
              <w:pStyle w:val="Smalltableheading"/>
              <w:rPr>
                <w:rFonts w:ascii="Cambria" w:hAnsi="Cambria" w:cs="Arial"/>
                <w:noProof w:val="0"/>
                <w:sz w:val="22"/>
                <w:szCs w:val="22"/>
              </w:rPr>
            </w:pPr>
            <w:r w:rsidRPr="008E3FD6">
              <w:rPr>
                <w:rFonts w:ascii="Cambria" w:hAnsi="Cambria" w:cs="Arial"/>
                <w:noProof w:val="0"/>
                <w:sz w:val="22"/>
                <w:szCs w:val="22"/>
              </w:rPr>
              <w:t>Date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B45654" w:rsidRPr="008E3FD6" w:rsidRDefault="00B45654" w:rsidP="00A45E96">
            <w:pPr>
              <w:pStyle w:val="Smalltableheading"/>
              <w:rPr>
                <w:rFonts w:ascii="Cambria" w:hAnsi="Cambria" w:cs="Arial"/>
                <w:noProof w:val="0"/>
                <w:sz w:val="22"/>
                <w:szCs w:val="22"/>
              </w:rPr>
            </w:pPr>
            <w:r w:rsidRPr="008E3FD6">
              <w:rPr>
                <w:rFonts w:ascii="Cambria" w:hAnsi="Cambria" w:cs="Arial"/>
                <w:noProof w:val="0"/>
                <w:sz w:val="22"/>
                <w:szCs w:val="22"/>
              </w:rPr>
              <w:t>W/P reference</w:t>
            </w:r>
          </w:p>
        </w:tc>
      </w:tr>
      <w:tr w:rsidR="00B45654" w:rsidRPr="008E3FD6">
        <w:trPr>
          <w:cantSplit/>
        </w:trPr>
        <w:tc>
          <w:tcPr>
            <w:tcW w:w="3545" w:type="dxa"/>
            <w:tcBorders>
              <w:bottom w:val="single" w:sz="12" w:space="0" w:color="auto"/>
            </w:tcBorders>
          </w:tcPr>
          <w:p w:rsidR="00B45654" w:rsidRPr="008E3FD6" w:rsidRDefault="00CB1DC1" w:rsidP="004A150D">
            <w:pPr>
              <w:pStyle w:val="Preparedby"/>
              <w:rPr>
                <w:rFonts w:ascii="Cambria" w:hAnsi="Cambria" w:cs="Arial"/>
                <w:szCs w:val="22"/>
                <w:lang w:val="en-US"/>
              </w:rPr>
            </w:pPr>
            <w:r w:rsidRPr="008E3FD6">
              <w:rPr>
                <w:rFonts w:ascii="Cambria" w:hAnsi="Cambria" w:cs="Arial"/>
                <w:szCs w:val="22"/>
                <w:lang w:val="en-US"/>
              </w:rPr>
              <w:t>Mr. XXX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B45654" w:rsidRPr="008E3FD6" w:rsidRDefault="00CB1DC1" w:rsidP="00DD6B13">
            <w:pPr>
              <w:pStyle w:val="Datecreated"/>
              <w:rPr>
                <w:rFonts w:ascii="Cambria" w:hAnsi="Cambria" w:cs="Arial"/>
                <w:szCs w:val="22"/>
                <w:highlight w:val="yellow"/>
                <w:lang w:val="en-US"/>
              </w:rPr>
            </w:pPr>
            <w:r w:rsidRPr="008E3FD6">
              <w:rPr>
                <w:rFonts w:ascii="Cambria" w:hAnsi="Cambria" w:cs="Arial"/>
                <w:szCs w:val="22"/>
              </w:rPr>
              <w:t>30 January 2022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B45654" w:rsidRPr="008E3FD6" w:rsidRDefault="00B45654" w:rsidP="00A45E96">
            <w:pPr>
              <w:pStyle w:val="WPreference"/>
              <w:rPr>
                <w:rFonts w:ascii="Cambria" w:hAnsi="Cambria" w:cs="Arial"/>
                <w:color w:val="000000"/>
                <w:szCs w:val="22"/>
                <w:highlight w:val="yellow"/>
                <w:lang w:val="en-US"/>
              </w:rPr>
            </w:pPr>
          </w:p>
        </w:tc>
      </w:tr>
    </w:tbl>
    <w:p w:rsidR="00044D68" w:rsidRPr="008E3FD6" w:rsidRDefault="00044D68" w:rsidP="00044D68">
      <w:pPr>
        <w:rPr>
          <w:rFonts w:ascii="Cambria" w:hAnsi="Cambria" w:cs="Arial"/>
          <w:b/>
          <w:sz w:val="22"/>
          <w:szCs w:val="22"/>
        </w:rPr>
      </w:pPr>
    </w:p>
    <w:p w:rsidR="00044D68" w:rsidRPr="008E3FD6" w:rsidRDefault="00695372" w:rsidP="00044D68">
      <w:pPr>
        <w:jc w:val="center"/>
        <w:outlineLvl w:val="0"/>
        <w:rPr>
          <w:rFonts w:ascii="Cambria" w:hAnsi="Cambria" w:cs="Arial"/>
          <w:b/>
          <w:i/>
          <w:sz w:val="22"/>
          <w:szCs w:val="22"/>
          <w:u w:val="single"/>
        </w:rPr>
      </w:pPr>
      <w:r w:rsidRPr="008E3FD6">
        <w:rPr>
          <w:rFonts w:ascii="Cambria" w:hAnsi="Cambria" w:cs="Arial"/>
          <w:b/>
          <w:i/>
          <w:sz w:val="22"/>
          <w:szCs w:val="22"/>
          <w:u w:val="single"/>
        </w:rPr>
        <w:t>Risk assessment and planning discussion</w:t>
      </w:r>
    </w:p>
    <w:p w:rsidR="00044D68" w:rsidRPr="008E3FD6" w:rsidRDefault="00044D68" w:rsidP="00044D68">
      <w:pPr>
        <w:rPr>
          <w:rFonts w:ascii="Cambria" w:hAnsi="Cambria" w:cs="Arial"/>
          <w:sz w:val="22"/>
          <w:szCs w:val="22"/>
        </w:rPr>
      </w:pPr>
    </w:p>
    <w:p w:rsidR="004705B4" w:rsidRPr="008E3FD6" w:rsidRDefault="004705B4" w:rsidP="004705B4">
      <w:pPr>
        <w:outlineLvl w:val="0"/>
        <w:rPr>
          <w:rFonts w:ascii="Cambria" w:hAnsi="Cambria" w:cs="Arial"/>
          <w:b/>
          <w:sz w:val="22"/>
          <w:szCs w:val="22"/>
          <w:u w:val="single"/>
        </w:rPr>
      </w:pPr>
      <w:r w:rsidRPr="008E3FD6">
        <w:rPr>
          <w:rFonts w:ascii="Cambria" w:hAnsi="Cambria" w:cs="Arial"/>
          <w:b/>
          <w:sz w:val="22"/>
          <w:szCs w:val="22"/>
          <w:u w:val="single"/>
        </w:rPr>
        <w:t>Meeting Minutes</w:t>
      </w:r>
    </w:p>
    <w:p w:rsidR="00C24FAF" w:rsidRPr="008E3FD6" w:rsidRDefault="00C24FAF" w:rsidP="00B610B2">
      <w:pPr>
        <w:autoSpaceDE w:val="0"/>
        <w:autoSpaceDN w:val="0"/>
        <w:adjustRightInd w:val="0"/>
        <w:spacing w:line="288" w:lineRule="auto"/>
        <w:rPr>
          <w:rFonts w:ascii="Cambria" w:hAnsi="Cambria" w:cs="Arial"/>
          <w:sz w:val="22"/>
          <w:szCs w:val="22"/>
        </w:rPr>
      </w:pPr>
      <w:r w:rsidRPr="008E3FD6">
        <w:rPr>
          <w:rFonts w:ascii="Cambria" w:hAnsi="Cambria" w:cs="Arial"/>
          <w:sz w:val="22"/>
          <w:szCs w:val="22"/>
        </w:rPr>
        <w:tab/>
      </w: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64"/>
        <w:gridCol w:w="4464"/>
      </w:tblGrid>
      <w:tr w:rsidR="004A150D" w:rsidRPr="008E3FD6" w:rsidTr="004A150D">
        <w:tc>
          <w:tcPr>
            <w:tcW w:w="4464" w:type="dxa"/>
          </w:tcPr>
          <w:p w:rsidR="004A150D" w:rsidRPr="008E3FD6" w:rsidRDefault="004A150D" w:rsidP="009D11AF">
            <w:pPr>
              <w:spacing w:after="20"/>
              <w:rPr>
                <w:rFonts w:ascii="Cambria" w:hAnsi="Cambria" w:cs="Arial"/>
                <w:b/>
                <w:sz w:val="22"/>
                <w:szCs w:val="22"/>
              </w:rPr>
            </w:pPr>
            <w:r w:rsidRPr="008E3FD6">
              <w:rPr>
                <w:rFonts w:ascii="Cambria" w:hAnsi="Cambria" w:cs="Arial"/>
                <w:b/>
                <w:sz w:val="22"/>
                <w:szCs w:val="22"/>
              </w:rPr>
              <w:t>Name of the Participant(s):</w:t>
            </w:r>
          </w:p>
        </w:tc>
        <w:tc>
          <w:tcPr>
            <w:tcW w:w="4464" w:type="dxa"/>
          </w:tcPr>
          <w:p w:rsidR="004A150D" w:rsidRPr="008E3FD6" w:rsidRDefault="006E5F66" w:rsidP="004158E9">
            <w:pPr>
              <w:ind w:right="-198"/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XXX</w:t>
            </w:r>
            <w:r w:rsidR="004A150D" w:rsidRPr="008E3FD6">
              <w:rPr>
                <w:rFonts w:ascii="Cambria" w:hAnsi="Cambria" w:cs="Arial"/>
                <w:sz w:val="22"/>
                <w:szCs w:val="22"/>
              </w:rPr>
              <w:t xml:space="preserve">- </w:t>
            </w:r>
            <w:r w:rsidR="004A150D" w:rsidRPr="008E3FD6">
              <w:rPr>
                <w:rFonts w:ascii="Cambria" w:hAnsi="Cambria" w:cs="Arial"/>
                <w:i/>
                <w:sz w:val="22"/>
                <w:szCs w:val="22"/>
              </w:rPr>
              <w:t>Engagement Partner</w:t>
            </w:r>
          </w:p>
        </w:tc>
      </w:tr>
      <w:tr w:rsidR="004A150D" w:rsidRPr="008E3FD6" w:rsidTr="004A150D">
        <w:tc>
          <w:tcPr>
            <w:tcW w:w="4464" w:type="dxa"/>
          </w:tcPr>
          <w:p w:rsidR="004A150D" w:rsidRPr="008E3FD6" w:rsidRDefault="004A150D" w:rsidP="009D11AF">
            <w:pPr>
              <w:spacing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464" w:type="dxa"/>
          </w:tcPr>
          <w:p w:rsidR="004A150D" w:rsidRPr="008E3FD6" w:rsidRDefault="006E5F66" w:rsidP="00C569D9">
            <w:pPr>
              <w:spacing w:after="20"/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XXX</w:t>
            </w:r>
            <w:r w:rsidR="004A150D" w:rsidRPr="008E3FD6">
              <w:rPr>
                <w:rFonts w:ascii="Cambria" w:hAnsi="Cambria" w:cs="Arial"/>
                <w:sz w:val="22"/>
                <w:szCs w:val="22"/>
              </w:rPr>
              <w:t>-</w:t>
            </w:r>
            <w:r w:rsidR="004A150D" w:rsidRPr="008E3FD6">
              <w:rPr>
                <w:rFonts w:ascii="Cambria" w:hAnsi="Cambria" w:cs="Arial"/>
                <w:i/>
                <w:sz w:val="22"/>
                <w:szCs w:val="22"/>
              </w:rPr>
              <w:t>Engagement Manager</w:t>
            </w:r>
          </w:p>
        </w:tc>
      </w:tr>
      <w:tr w:rsidR="004A150D" w:rsidRPr="008E3FD6" w:rsidTr="004A150D">
        <w:tc>
          <w:tcPr>
            <w:tcW w:w="4464" w:type="dxa"/>
          </w:tcPr>
          <w:p w:rsidR="004A150D" w:rsidRPr="008E3FD6" w:rsidRDefault="004A150D" w:rsidP="009D11AF">
            <w:pPr>
              <w:spacing w:after="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464" w:type="dxa"/>
          </w:tcPr>
          <w:p w:rsidR="004A150D" w:rsidRPr="008E3FD6" w:rsidRDefault="006E5F66" w:rsidP="00327971">
            <w:pPr>
              <w:spacing w:after="20"/>
              <w:rPr>
                <w:rFonts w:ascii="Cambria" w:hAnsi="Cambria" w:cs="Arial"/>
                <w:i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XXX</w:t>
            </w:r>
            <w:r w:rsidR="004A150D" w:rsidRPr="008E3FD6">
              <w:rPr>
                <w:rFonts w:ascii="Cambria" w:hAnsi="Cambria" w:cs="Arial"/>
                <w:sz w:val="22"/>
                <w:szCs w:val="22"/>
              </w:rPr>
              <w:t>-</w:t>
            </w:r>
            <w:r w:rsidR="004A150D" w:rsidRPr="008E3FD6">
              <w:rPr>
                <w:rFonts w:ascii="Cambria" w:hAnsi="Cambria" w:cs="Arial"/>
                <w:i/>
                <w:sz w:val="22"/>
                <w:szCs w:val="22"/>
              </w:rPr>
              <w:t>Audit In Charge</w:t>
            </w:r>
          </w:p>
        </w:tc>
      </w:tr>
      <w:tr w:rsidR="00147718" w:rsidRPr="008E3FD6" w:rsidTr="004A150D">
        <w:tc>
          <w:tcPr>
            <w:tcW w:w="4464" w:type="dxa"/>
          </w:tcPr>
          <w:p w:rsidR="00147718" w:rsidRPr="008E3FD6" w:rsidRDefault="00147718" w:rsidP="009D11AF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464" w:type="dxa"/>
          </w:tcPr>
          <w:p w:rsidR="00147718" w:rsidRPr="008E3FD6" w:rsidRDefault="006E5F66" w:rsidP="00327971">
            <w:p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XXX</w:t>
            </w:r>
            <w:r w:rsidR="00B9440E" w:rsidRPr="008E3FD6">
              <w:rPr>
                <w:rFonts w:ascii="Cambria" w:hAnsi="Cambria" w:cs="Arial"/>
                <w:sz w:val="22"/>
                <w:szCs w:val="22"/>
              </w:rPr>
              <w:t xml:space="preserve"> - </w:t>
            </w:r>
            <w:r w:rsidR="00B9440E" w:rsidRPr="008E3FD6">
              <w:rPr>
                <w:rFonts w:ascii="Cambria" w:hAnsi="Cambria" w:cs="Arial"/>
                <w:i/>
                <w:sz w:val="22"/>
                <w:szCs w:val="22"/>
              </w:rPr>
              <w:t>Audit Senior</w:t>
            </w:r>
          </w:p>
        </w:tc>
      </w:tr>
      <w:tr w:rsidR="004A150D" w:rsidRPr="008E3FD6" w:rsidTr="004A150D">
        <w:tc>
          <w:tcPr>
            <w:tcW w:w="4464" w:type="dxa"/>
          </w:tcPr>
          <w:p w:rsidR="004A150D" w:rsidRPr="008E3FD6" w:rsidRDefault="004A150D" w:rsidP="009D11AF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464" w:type="dxa"/>
          </w:tcPr>
          <w:p w:rsidR="004A150D" w:rsidRPr="008E3FD6" w:rsidRDefault="006E5F66" w:rsidP="00327971">
            <w:pPr>
              <w:rPr>
                <w:rFonts w:ascii="Cambria" w:hAnsi="Cambria" w:cs="Arial"/>
                <w:i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XXX</w:t>
            </w:r>
            <w:r w:rsidR="00B9440E" w:rsidRPr="008E3FD6">
              <w:rPr>
                <w:rFonts w:ascii="Cambria" w:hAnsi="Cambria" w:cs="Arial"/>
                <w:i/>
                <w:sz w:val="22"/>
                <w:szCs w:val="22"/>
              </w:rPr>
              <w:t>- Audit Senior</w:t>
            </w:r>
          </w:p>
        </w:tc>
      </w:tr>
    </w:tbl>
    <w:p w:rsidR="00C24FAF" w:rsidRPr="008E3FD6" w:rsidRDefault="00C24FAF" w:rsidP="00C24FAF">
      <w:pPr>
        <w:rPr>
          <w:rFonts w:ascii="Cambria" w:hAnsi="Cambria" w:cs="Arial"/>
          <w:sz w:val="22"/>
          <w:szCs w:val="22"/>
        </w:rPr>
      </w:pP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64"/>
        <w:gridCol w:w="4464"/>
      </w:tblGrid>
      <w:tr w:rsidR="0035772A" w:rsidRPr="008E3FD6" w:rsidTr="00D90D6F">
        <w:tc>
          <w:tcPr>
            <w:tcW w:w="4464" w:type="dxa"/>
          </w:tcPr>
          <w:p w:rsidR="0035772A" w:rsidRPr="008E3FD6" w:rsidRDefault="005B0FE9" w:rsidP="005B0FE9">
            <w:pPr>
              <w:tabs>
                <w:tab w:val="left" w:pos="675"/>
                <w:tab w:val="center" w:pos="2124"/>
              </w:tabs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ab/>
            </w:r>
            <w:r w:rsidRPr="008E3FD6">
              <w:rPr>
                <w:rFonts w:ascii="Cambria" w:hAnsi="Cambria" w:cs="Arial"/>
                <w:sz w:val="22"/>
                <w:szCs w:val="22"/>
              </w:rPr>
              <w:tab/>
            </w:r>
            <w:r w:rsidR="0035772A" w:rsidRPr="008E3FD6">
              <w:rPr>
                <w:rFonts w:ascii="Cambria" w:hAnsi="Cambria" w:cs="Arial"/>
                <w:sz w:val="22"/>
                <w:szCs w:val="22"/>
              </w:rPr>
              <w:t>Date an</w:t>
            </w:r>
            <w:r w:rsidR="00D90D6F" w:rsidRPr="008E3FD6">
              <w:rPr>
                <w:rFonts w:ascii="Cambria" w:hAnsi="Cambria" w:cs="Arial"/>
                <w:sz w:val="22"/>
                <w:szCs w:val="22"/>
              </w:rPr>
              <w:t>d time of Meeting</w:t>
            </w:r>
            <w:r w:rsidR="0035772A" w:rsidRPr="008E3FD6">
              <w:rPr>
                <w:rFonts w:ascii="Cambria" w:hAnsi="Cambria" w:cs="Arial"/>
                <w:sz w:val="22"/>
                <w:szCs w:val="22"/>
              </w:rPr>
              <w:t>:</w:t>
            </w:r>
          </w:p>
        </w:tc>
        <w:tc>
          <w:tcPr>
            <w:tcW w:w="4464" w:type="dxa"/>
          </w:tcPr>
          <w:p w:rsidR="0035772A" w:rsidRPr="008E3FD6" w:rsidRDefault="00CB1DC1" w:rsidP="00DD6B13">
            <w:pPr>
              <w:rPr>
                <w:rFonts w:ascii="Cambria" w:hAnsi="Cambria" w:cs="Arial"/>
                <w:sz w:val="22"/>
                <w:szCs w:val="22"/>
                <w:highlight w:val="yellow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29 January 2022</w:t>
            </w:r>
          </w:p>
        </w:tc>
      </w:tr>
    </w:tbl>
    <w:p w:rsidR="00544F38" w:rsidRPr="008E3FD6" w:rsidRDefault="00544F38" w:rsidP="000D3246">
      <w:pPr>
        <w:tabs>
          <w:tab w:val="left" w:pos="2880"/>
        </w:tabs>
        <w:rPr>
          <w:rFonts w:ascii="Cambria" w:hAnsi="Cambria" w:cs="Arial"/>
          <w:sz w:val="22"/>
          <w:szCs w:val="22"/>
        </w:rPr>
      </w:pPr>
    </w:p>
    <w:p w:rsidR="00972703" w:rsidRPr="008E3FD6" w:rsidRDefault="00972703" w:rsidP="00972703">
      <w:pPr>
        <w:rPr>
          <w:rFonts w:ascii="Cambria" w:hAnsi="Cambria"/>
          <w:b/>
          <w:sz w:val="22"/>
          <w:szCs w:val="22"/>
        </w:rPr>
      </w:pPr>
    </w:p>
    <w:p w:rsidR="00972703" w:rsidRPr="008E3FD6" w:rsidRDefault="00972703" w:rsidP="00972703">
      <w:pPr>
        <w:rPr>
          <w:rFonts w:ascii="Cambria" w:hAnsi="Cambria" w:cs="Arial"/>
          <w:b/>
          <w:sz w:val="22"/>
          <w:szCs w:val="22"/>
        </w:rPr>
      </w:pPr>
      <w:r w:rsidRPr="008E3FD6">
        <w:rPr>
          <w:rFonts w:ascii="Cambria" w:hAnsi="Cambria" w:cs="Arial"/>
          <w:b/>
          <w:sz w:val="22"/>
          <w:szCs w:val="22"/>
        </w:rPr>
        <w:t>The main issues related to risk assessment are:</w:t>
      </w:r>
    </w:p>
    <w:p w:rsidR="00972703" w:rsidRPr="008E3FD6" w:rsidRDefault="00972703" w:rsidP="00972703">
      <w:pPr>
        <w:ind w:firstLine="465"/>
        <w:contextualSpacing/>
        <w:rPr>
          <w:rFonts w:ascii="Cambria" w:hAnsi="Cambria" w:cs="Arial"/>
          <w:sz w:val="22"/>
          <w:szCs w:val="22"/>
        </w:rPr>
      </w:pPr>
    </w:p>
    <w:p w:rsidR="009228C6" w:rsidRPr="008E3FD6" w:rsidRDefault="009228C6" w:rsidP="00972703">
      <w:pPr>
        <w:ind w:firstLine="465"/>
        <w:contextualSpacing/>
        <w:rPr>
          <w:rFonts w:ascii="Cambria" w:hAnsi="Cambria" w:cs="Arial"/>
          <w:sz w:val="22"/>
          <w:szCs w:val="22"/>
        </w:rPr>
      </w:pPr>
      <w:r w:rsidRPr="008E3FD6">
        <w:rPr>
          <w:rFonts w:ascii="Cambria" w:hAnsi="Cambria" w:cs="Arial"/>
          <w:sz w:val="22"/>
          <w:szCs w:val="22"/>
        </w:rPr>
        <w:t>• Understanding the entity</w:t>
      </w:r>
    </w:p>
    <w:p w:rsidR="00972703" w:rsidRPr="008E3FD6" w:rsidRDefault="00972703" w:rsidP="00972703">
      <w:pPr>
        <w:ind w:firstLine="465"/>
        <w:contextualSpacing/>
        <w:rPr>
          <w:rFonts w:ascii="Cambria" w:hAnsi="Cambria" w:cs="Arial"/>
          <w:sz w:val="22"/>
          <w:szCs w:val="22"/>
        </w:rPr>
      </w:pPr>
      <w:r w:rsidRPr="008E3FD6">
        <w:rPr>
          <w:rFonts w:ascii="Cambria" w:hAnsi="Cambria" w:cs="Arial"/>
          <w:sz w:val="22"/>
          <w:szCs w:val="22"/>
        </w:rPr>
        <w:t>• Significant risks</w:t>
      </w:r>
    </w:p>
    <w:p w:rsidR="00AE352B" w:rsidRPr="008E3FD6" w:rsidRDefault="00AE352B" w:rsidP="00AE352B">
      <w:pPr>
        <w:ind w:firstLine="465"/>
        <w:contextualSpacing/>
        <w:rPr>
          <w:rFonts w:ascii="Cambria" w:hAnsi="Cambria" w:cs="Arial"/>
          <w:sz w:val="22"/>
          <w:szCs w:val="22"/>
        </w:rPr>
      </w:pPr>
      <w:r w:rsidRPr="008E3FD6">
        <w:rPr>
          <w:rFonts w:ascii="Cambria" w:hAnsi="Cambria" w:cs="Arial"/>
          <w:sz w:val="22"/>
          <w:szCs w:val="22"/>
        </w:rPr>
        <w:t>• Journal ent</w:t>
      </w:r>
      <w:r w:rsidR="007F629A" w:rsidRPr="008E3FD6">
        <w:rPr>
          <w:rFonts w:ascii="Cambria" w:hAnsi="Cambria" w:cs="Arial"/>
          <w:sz w:val="22"/>
          <w:szCs w:val="22"/>
        </w:rPr>
        <w:t>ries</w:t>
      </w:r>
    </w:p>
    <w:p w:rsidR="00972703" w:rsidRPr="008E3FD6" w:rsidRDefault="00972703" w:rsidP="00972703">
      <w:pPr>
        <w:ind w:firstLine="465"/>
        <w:contextualSpacing/>
        <w:rPr>
          <w:rFonts w:ascii="Cambria" w:hAnsi="Cambria" w:cs="Arial"/>
          <w:sz w:val="22"/>
          <w:szCs w:val="22"/>
        </w:rPr>
      </w:pPr>
      <w:r w:rsidRPr="008E3FD6">
        <w:rPr>
          <w:rFonts w:ascii="Cambria" w:hAnsi="Cambria" w:cs="Arial"/>
          <w:sz w:val="22"/>
          <w:szCs w:val="22"/>
        </w:rPr>
        <w:t>• Materiality</w:t>
      </w:r>
    </w:p>
    <w:p w:rsidR="00972703" w:rsidRPr="008E3FD6" w:rsidRDefault="00972703" w:rsidP="00972703">
      <w:pPr>
        <w:ind w:firstLine="465"/>
        <w:contextualSpacing/>
        <w:rPr>
          <w:rFonts w:ascii="Cambria" w:hAnsi="Cambria" w:cs="Arial"/>
          <w:sz w:val="22"/>
          <w:szCs w:val="22"/>
        </w:rPr>
      </w:pPr>
      <w:r w:rsidRPr="008E3FD6">
        <w:rPr>
          <w:rFonts w:ascii="Cambria" w:hAnsi="Cambria" w:cs="Arial"/>
          <w:sz w:val="22"/>
          <w:szCs w:val="22"/>
        </w:rPr>
        <w:t>• Related party transactions</w:t>
      </w:r>
    </w:p>
    <w:p w:rsidR="00972703" w:rsidRPr="008E3FD6" w:rsidRDefault="00972703" w:rsidP="00972703">
      <w:pPr>
        <w:ind w:firstLine="465"/>
        <w:contextualSpacing/>
        <w:rPr>
          <w:rFonts w:ascii="Cambria" w:hAnsi="Cambria" w:cs="Arial"/>
          <w:sz w:val="22"/>
          <w:szCs w:val="22"/>
        </w:rPr>
      </w:pPr>
      <w:r w:rsidRPr="008E3FD6">
        <w:rPr>
          <w:rFonts w:ascii="Cambria" w:hAnsi="Cambria" w:cs="Arial"/>
          <w:sz w:val="22"/>
          <w:szCs w:val="22"/>
        </w:rPr>
        <w:t>• Competence of the team</w:t>
      </w:r>
    </w:p>
    <w:p w:rsidR="00544F38" w:rsidRPr="008E3FD6" w:rsidRDefault="00972703" w:rsidP="00043F0E">
      <w:pPr>
        <w:ind w:firstLine="465"/>
        <w:contextualSpacing/>
        <w:rPr>
          <w:rFonts w:ascii="Cambria" w:hAnsi="Cambria" w:cs="Arial"/>
          <w:sz w:val="22"/>
          <w:szCs w:val="22"/>
        </w:rPr>
      </w:pPr>
      <w:r w:rsidRPr="008E3FD6">
        <w:rPr>
          <w:rFonts w:ascii="Cambria" w:hAnsi="Cambria" w:cs="Arial"/>
          <w:sz w:val="22"/>
          <w:szCs w:val="22"/>
        </w:rPr>
        <w:t>• GITC and IRM involve</w:t>
      </w:r>
      <w:bookmarkStart w:id="0" w:name="_GoBack"/>
      <w:bookmarkEnd w:id="0"/>
      <w:r w:rsidRPr="008E3FD6">
        <w:rPr>
          <w:rFonts w:ascii="Cambria" w:hAnsi="Cambria" w:cs="Arial"/>
          <w:sz w:val="22"/>
          <w:szCs w:val="22"/>
        </w:rPr>
        <w:t>ment</w:t>
      </w:r>
    </w:p>
    <w:p w:rsidR="00972703" w:rsidRPr="008E3FD6" w:rsidRDefault="00972703" w:rsidP="00972703">
      <w:pPr>
        <w:tabs>
          <w:tab w:val="left" w:pos="2880"/>
        </w:tabs>
        <w:rPr>
          <w:rFonts w:ascii="Cambria" w:hAnsi="Cambria"/>
          <w:sz w:val="22"/>
          <w:szCs w:val="22"/>
        </w:rPr>
      </w:pPr>
    </w:p>
    <w:tbl>
      <w:tblPr>
        <w:tblW w:w="5076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4A0"/>
      </w:tblPr>
      <w:tblGrid>
        <w:gridCol w:w="1752"/>
        <w:gridCol w:w="1845"/>
        <w:gridCol w:w="4524"/>
        <w:gridCol w:w="870"/>
      </w:tblGrid>
      <w:tr w:rsidR="00695372" w:rsidRPr="008E3FD6" w:rsidTr="00281597">
        <w:trPr>
          <w:trHeight w:val="561"/>
          <w:tblHeader/>
        </w:trPr>
        <w:tc>
          <w:tcPr>
            <w:tcW w:w="974" w:type="pct"/>
            <w:shd w:val="solid" w:color="95B3D7" w:fill="FFFFFF"/>
            <w:vAlign w:val="center"/>
          </w:tcPr>
          <w:p w:rsidR="00695372" w:rsidRPr="008E3FD6" w:rsidRDefault="00695372" w:rsidP="001D2CCD">
            <w:pPr>
              <w:spacing w:after="20"/>
              <w:jc w:val="center"/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</w:pPr>
            <w:r w:rsidRPr="008E3FD6"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  <w:t>Category</w:t>
            </w:r>
          </w:p>
        </w:tc>
        <w:tc>
          <w:tcPr>
            <w:tcW w:w="1026" w:type="pct"/>
            <w:shd w:val="solid" w:color="95B3D7" w:fill="FFFFFF"/>
            <w:vAlign w:val="center"/>
          </w:tcPr>
          <w:p w:rsidR="00695372" w:rsidRPr="008E3FD6" w:rsidRDefault="00695372" w:rsidP="001D2CCD">
            <w:pPr>
              <w:spacing w:after="20"/>
              <w:jc w:val="center"/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</w:pPr>
            <w:r w:rsidRPr="008E3FD6"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  <w:t>Discussion</w:t>
            </w:r>
          </w:p>
        </w:tc>
        <w:tc>
          <w:tcPr>
            <w:tcW w:w="2516" w:type="pct"/>
            <w:shd w:val="solid" w:color="95B3D7" w:fill="FFFFFF"/>
            <w:vAlign w:val="center"/>
          </w:tcPr>
          <w:p w:rsidR="00695372" w:rsidRPr="008E3FD6" w:rsidRDefault="00695372" w:rsidP="001D2CCD">
            <w:pPr>
              <w:spacing w:after="20"/>
              <w:jc w:val="center"/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</w:pPr>
            <w:r w:rsidRPr="008E3FD6"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  <w:t>Comments</w:t>
            </w:r>
          </w:p>
        </w:tc>
        <w:tc>
          <w:tcPr>
            <w:tcW w:w="484" w:type="pct"/>
            <w:shd w:val="solid" w:color="95B3D7" w:fill="FFFFFF"/>
            <w:vAlign w:val="center"/>
          </w:tcPr>
          <w:p w:rsidR="00695372" w:rsidRPr="008E3FD6" w:rsidRDefault="00695372" w:rsidP="001D2CCD">
            <w:pPr>
              <w:spacing w:after="20"/>
              <w:jc w:val="center"/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</w:pPr>
            <w:r w:rsidRPr="008E3FD6">
              <w:rPr>
                <w:rFonts w:ascii="Cambria" w:hAnsi="Cambria" w:cs="Arial"/>
                <w:b/>
                <w:bCs/>
                <w:color w:val="FFFFFF"/>
                <w:sz w:val="22"/>
                <w:szCs w:val="22"/>
              </w:rPr>
              <w:t>Ref:</w:t>
            </w:r>
          </w:p>
        </w:tc>
      </w:tr>
      <w:tr w:rsidR="00695372" w:rsidRPr="008E3FD6" w:rsidTr="00281597">
        <w:trPr>
          <w:trHeight w:val="196"/>
          <w:hidden/>
        </w:trPr>
        <w:tc>
          <w:tcPr>
            <w:tcW w:w="974" w:type="pct"/>
            <w:shd w:val="clear" w:color="auto" w:fill="auto"/>
          </w:tcPr>
          <w:p w:rsidR="00695372" w:rsidRPr="008E3FD6" w:rsidRDefault="00695372" w:rsidP="001D2CCD">
            <w:pPr>
              <w:spacing w:after="20"/>
              <w:jc w:val="center"/>
              <w:rPr>
                <w:rFonts w:ascii="Cambria" w:hAnsi="Cambria" w:cs="Arial"/>
                <w:vanish/>
                <w:sz w:val="22"/>
                <w:szCs w:val="22"/>
              </w:rPr>
            </w:pPr>
          </w:p>
        </w:tc>
        <w:tc>
          <w:tcPr>
            <w:tcW w:w="1026" w:type="pct"/>
            <w:shd w:val="clear" w:color="auto" w:fill="auto"/>
          </w:tcPr>
          <w:p w:rsidR="00695372" w:rsidRPr="008E3FD6" w:rsidRDefault="00695372" w:rsidP="001D2CCD">
            <w:pPr>
              <w:spacing w:after="20"/>
              <w:jc w:val="center"/>
              <w:rPr>
                <w:rFonts w:ascii="Cambria" w:hAnsi="Cambria" w:cs="Arial"/>
                <w:vanish/>
                <w:sz w:val="22"/>
                <w:szCs w:val="22"/>
              </w:rPr>
            </w:pPr>
          </w:p>
        </w:tc>
        <w:tc>
          <w:tcPr>
            <w:tcW w:w="3000" w:type="pct"/>
            <w:gridSpan w:val="2"/>
            <w:shd w:val="clear" w:color="auto" w:fill="auto"/>
          </w:tcPr>
          <w:p w:rsidR="00695372" w:rsidRPr="008E3FD6" w:rsidRDefault="00695372" w:rsidP="001D2CCD">
            <w:pPr>
              <w:spacing w:after="20"/>
              <w:jc w:val="center"/>
              <w:rPr>
                <w:rFonts w:ascii="Cambria" w:hAnsi="Cambria" w:cs="Arial"/>
                <w:vanish/>
                <w:sz w:val="22"/>
                <w:szCs w:val="22"/>
              </w:rPr>
            </w:pPr>
          </w:p>
        </w:tc>
      </w:tr>
      <w:tr w:rsidR="002F7590" w:rsidRPr="008E3FD6" w:rsidTr="00281597">
        <w:trPr>
          <w:trHeight w:val="993"/>
        </w:trPr>
        <w:tc>
          <w:tcPr>
            <w:tcW w:w="974" w:type="pct"/>
            <w:vMerge w:val="restart"/>
            <w:shd w:val="clear" w:color="auto" w:fill="auto"/>
          </w:tcPr>
          <w:p w:rsidR="002F7590" w:rsidRPr="008E3FD6" w:rsidRDefault="002F7590" w:rsidP="001D2CCD">
            <w:pPr>
              <w:tabs>
                <w:tab w:val="left" w:pos="885"/>
              </w:tabs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Understanding the entity</w:t>
            </w:r>
          </w:p>
        </w:tc>
        <w:tc>
          <w:tcPr>
            <w:tcW w:w="1026" w:type="pct"/>
            <w:shd w:val="clear" w:color="auto" w:fill="auto"/>
          </w:tcPr>
          <w:p w:rsidR="002F7590" w:rsidRPr="008E3FD6" w:rsidRDefault="002F7590" w:rsidP="001D2CCD">
            <w:p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Principal activities of the client</w:t>
            </w:r>
          </w:p>
        </w:tc>
        <w:tc>
          <w:tcPr>
            <w:tcW w:w="2516" w:type="pct"/>
            <w:shd w:val="clear" w:color="auto" w:fill="auto"/>
          </w:tcPr>
          <w:p w:rsidR="002F7590" w:rsidRPr="008E3FD6" w:rsidRDefault="00DC53BA" w:rsidP="00EC41E1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The principal activities of the Company are to manufacture and market industrial sewing thread to 100% export-oriented garments industries. </w:t>
            </w:r>
          </w:p>
        </w:tc>
        <w:tc>
          <w:tcPr>
            <w:tcW w:w="484" w:type="pct"/>
            <w:shd w:val="clear" w:color="auto" w:fill="auto"/>
          </w:tcPr>
          <w:p w:rsidR="002F7590" w:rsidRPr="008E3FD6" w:rsidRDefault="002F7590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F7590" w:rsidRPr="008E3FD6" w:rsidTr="00281597">
        <w:trPr>
          <w:trHeight w:val="1380"/>
        </w:trPr>
        <w:tc>
          <w:tcPr>
            <w:tcW w:w="974" w:type="pct"/>
            <w:vMerge/>
            <w:shd w:val="clear" w:color="auto" w:fill="auto"/>
          </w:tcPr>
          <w:p w:rsidR="002F7590" w:rsidRPr="008E3FD6" w:rsidRDefault="002F7590" w:rsidP="001D2CCD">
            <w:pPr>
              <w:tabs>
                <w:tab w:val="left" w:pos="885"/>
              </w:tabs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26" w:type="pct"/>
            <w:shd w:val="clear" w:color="auto" w:fill="auto"/>
          </w:tcPr>
          <w:p w:rsidR="002F7590" w:rsidRPr="008E3FD6" w:rsidRDefault="00AB00E9" w:rsidP="000A3D07">
            <w:p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 xml:space="preserve">Legal &amp; regulatory policies, </w:t>
            </w:r>
            <w:r w:rsidR="002F7590" w:rsidRPr="008E3FD6">
              <w:rPr>
                <w:rFonts w:ascii="Cambria" w:hAnsi="Cambria" w:cs="Arial"/>
                <w:sz w:val="22"/>
                <w:szCs w:val="22"/>
              </w:rPr>
              <w:t xml:space="preserve">accounting policies, including </w:t>
            </w:r>
            <w:r w:rsidR="002F7590" w:rsidRPr="008E3FD6">
              <w:rPr>
                <w:rFonts w:ascii="Cambria" w:hAnsi="Cambria" w:cs="Arial"/>
                <w:sz w:val="22"/>
                <w:szCs w:val="22"/>
              </w:rPr>
              <w:lastRenderedPageBreak/>
              <w:t>unusual accounting policies and</w:t>
            </w:r>
            <w:r w:rsidRPr="008E3FD6">
              <w:rPr>
                <w:rFonts w:ascii="Cambria" w:hAnsi="Cambria" w:cs="Arial"/>
                <w:sz w:val="22"/>
                <w:szCs w:val="22"/>
              </w:rPr>
              <w:t xml:space="preserve"> reporting</w:t>
            </w:r>
            <w:r w:rsidR="002F7590" w:rsidRPr="008E3FD6">
              <w:rPr>
                <w:rFonts w:ascii="Cambria" w:hAnsi="Cambria" w:cs="Arial"/>
                <w:sz w:val="22"/>
                <w:szCs w:val="22"/>
              </w:rPr>
              <w:t xml:space="preserve"> procedures</w:t>
            </w:r>
          </w:p>
        </w:tc>
        <w:tc>
          <w:tcPr>
            <w:tcW w:w="2516" w:type="pct"/>
            <w:shd w:val="clear" w:color="auto" w:fill="auto"/>
          </w:tcPr>
          <w:p w:rsidR="004A150D" w:rsidRPr="008E3FD6" w:rsidRDefault="00AE4074" w:rsidP="004A150D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  <w:u w:val="single"/>
              </w:rPr>
              <w:lastRenderedPageBreak/>
              <w:t>Audit Manager</w:t>
            </w:r>
            <w:r w:rsidR="00C569D9" w:rsidRPr="008E3FD6">
              <w:rPr>
                <w:rFonts w:ascii="Cambria" w:hAnsi="Cambria" w:cs="Arial"/>
                <w:sz w:val="22"/>
                <w:szCs w:val="22"/>
                <w:u w:val="single"/>
              </w:rPr>
              <w:t>-</w:t>
            </w:r>
          </w:p>
          <w:p w:rsidR="002F7590" w:rsidRPr="008E3FD6" w:rsidRDefault="00142863" w:rsidP="003C75F4">
            <w:p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 xml:space="preserve">Informed that </w:t>
            </w:r>
            <w:r w:rsidR="002F7590" w:rsidRPr="008E3FD6">
              <w:rPr>
                <w:rFonts w:ascii="Cambria" w:hAnsi="Cambria" w:cs="Arial"/>
                <w:sz w:val="22"/>
                <w:szCs w:val="22"/>
              </w:rPr>
              <w:t>Client’s accounting policies and procedures do not contravene to any provision of the Companies Act 1994 and</w:t>
            </w:r>
            <w:r w:rsidR="003C75F4" w:rsidRPr="008E3FD6">
              <w:rPr>
                <w:rFonts w:ascii="Cambria" w:hAnsi="Cambria" w:cs="Arial"/>
                <w:sz w:val="22"/>
                <w:szCs w:val="22"/>
              </w:rPr>
              <w:t xml:space="preserve"> International Accounting Standards (I</w:t>
            </w:r>
            <w:r w:rsidR="00AB00E9" w:rsidRPr="008E3FD6">
              <w:rPr>
                <w:rFonts w:ascii="Cambria" w:hAnsi="Cambria" w:cs="Arial"/>
                <w:sz w:val="22"/>
                <w:szCs w:val="22"/>
              </w:rPr>
              <w:t>AS) and</w:t>
            </w:r>
            <w:r w:rsidR="003C75F4" w:rsidRPr="008E3FD6">
              <w:rPr>
                <w:rFonts w:ascii="Cambria" w:hAnsi="Cambria" w:cs="Arial"/>
                <w:sz w:val="22"/>
                <w:szCs w:val="22"/>
              </w:rPr>
              <w:t xml:space="preserve"> International</w:t>
            </w:r>
            <w:r w:rsidR="002F7590" w:rsidRPr="008E3FD6">
              <w:rPr>
                <w:rFonts w:ascii="Cambria" w:hAnsi="Cambria" w:cs="Arial"/>
                <w:sz w:val="22"/>
                <w:szCs w:val="22"/>
              </w:rPr>
              <w:t xml:space="preserve"> Fina</w:t>
            </w:r>
            <w:r w:rsidR="003C75F4" w:rsidRPr="008E3FD6">
              <w:rPr>
                <w:rFonts w:ascii="Cambria" w:hAnsi="Cambria" w:cs="Arial"/>
                <w:sz w:val="22"/>
                <w:szCs w:val="22"/>
              </w:rPr>
              <w:t xml:space="preserve">ncial Reporting Standards </w:t>
            </w:r>
            <w:r w:rsidR="003C75F4" w:rsidRPr="008E3FD6">
              <w:rPr>
                <w:rFonts w:ascii="Cambria" w:hAnsi="Cambria" w:cs="Arial"/>
                <w:sz w:val="22"/>
                <w:szCs w:val="22"/>
              </w:rPr>
              <w:lastRenderedPageBreak/>
              <w:t>(I</w:t>
            </w:r>
            <w:r w:rsidR="00AB00E9" w:rsidRPr="008E3FD6">
              <w:rPr>
                <w:rFonts w:ascii="Cambria" w:hAnsi="Cambria" w:cs="Arial"/>
                <w:sz w:val="22"/>
                <w:szCs w:val="22"/>
              </w:rPr>
              <w:t>FRS</w:t>
            </w:r>
            <w:r w:rsidR="002F7590" w:rsidRPr="008E3FD6">
              <w:rPr>
                <w:rFonts w:ascii="Cambria" w:hAnsi="Cambria" w:cs="Arial"/>
                <w:sz w:val="22"/>
                <w:szCs w:val="22"/>
              </w:rPr>
              <w:t>).</w:t>
            </w:r>
          </w:p>
        </w:tc>
        <w:tc>
          <w:tcPr>
            <w:tcW w:w="484" w:type="pct"/>
            <w:shd w:val="clear" w:color="auto" w:fill="auto"/>
          </w:tcPr>
          <w:p w:rsidR="002F7590" w:rsidRPr="008E3FD6" w:rsidRDefault="002F7590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F4823" w:rsidRPr="008E3FD6" w:rsidTr="00281597">
        <w:trPr>
          <w:trHeight w:val="1380"/>
        </w:trPr>
        <w:tc>
          <w:tcPr>
            <w:tcW w:w="974" w:type="pct"/>
            <w:shd w:val="clear" w:color="auto" w:fill="auto"/>
          </w:tcPr>
          <w:p w:rsidR="002F4823" w:rsidRPr="008E3FD6" w:rsidRDefault="002F4823" w:rsidP="001D2CCD">
            <w:pPr>
              <w:tabs>
                <w:tab w:val="left" w:pos="885"/>
              </w:tabs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lastRenderedPageBreak/>
              <w:t>Materiality</w:t>
            </w:r>
          </w:p>
        </w:tc>
        <w:tc>
          <w:tcPr>
            <w:tcW w:w="1026" w:type="pct"/>
            <w:shd w:val="clear" w:color="auto" w:fill="auto"/>
          </w:tcPr>
          <w:p w:rsidR="002F4823" w:rsidRPr="008E3FD6" w:rsidRDefault="002F4823" w:rsidP="000A3D07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16" w:type="pct"/>
            <w:shd w:val="clear" w:color="auto" w:fill="auto"/>
          </w:tcPr>
          <w:p w:rsidR="002F4823" w:rsidRPr="008E3FD6" w:rsidRDefault="002F4823" w:rsidP="002F4823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  <w:u w:val="single"/>
              </w:rPr>
              <w:t>Audit Manager-</w:t>
            </w:r>
          </w:p>
          <w:p w:rsidR="002F4823" w:rsidRPr="008E3FD6" w:rsidRDefault="002F4823" w:rsidP="002F4823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 xml:space="preserve">Informed that materiality had been calculated as the </w:t>
            </w:r>
            <w:r w:rsidR="00DC53BA" w:rsidRPr="008E3FD6">
              <w:rPr>
                <w:rFonts w:ascii="Cambria" w:hAnsi="Cambria" w:cs="Arial"/>
                <w:sz w:val="22"/>
                <w:szCs w:val="22"/>
              </w:rPr>
              <w:t>8</w:t>
            </w:r>
            <w:r w:rsidRPr="008E3FD6">
              <w:rPr>
                <w:rFonts w:ascii="Cambria" w:hAnsi="Cambria" w:cs="Arial"/>
                <w:sz w:val="22"/>
                <w:szCs w:val="22"/>
              </w:rPr>
              <w:t>% of the</w:t>
            </w:r>
            <w:r w:rsidR="00DC53BA" w:rsidRPr="008E3FD6">
              <w:rPr>
                <w:rFonts w:ascii="Cambria" w:hAnsi="Cambria" w:cs="Arial"/>
                <w:sz w:val="22"/>
                <w:szCs w:val="22"/>
              </w:rPr>
              <w:t>PBTCO</w:t>
            </w:r>
            <w:r w:rsidRPr="008E3FD6">
              <w:rPr>
                <w:rFonts w:ascii="Cambria" w:hAnsi="Cambria" w:cs="Arial"/>
                <w:sz w:val="22"/>
                <w:szCs w:val="22"/>
              </w:rPr>
              <w:t xml:space="preserve"> and performance materiality had been </w:t>
            </w:r>
            <w:r w:rsidR="00DC53BA" w:rsidRPr="008E3FD6">
              <w:rPr>
                <w:rFonts w:ascii="Cambria" w:hAnsi="Cambria" w:cs="Arial"/>
                <w:sz w:val="22"/>
                <w:szCs w:val="22"/>
              </w:rPr>
              <w:t>8</w:t>
            </w:r>
            <w:r w:rsidRPr="008E3FD6">
              <w:rPr>
                <w:rFonts w:ascii="Cambria" w:hAnsi="Cambria" w:cs="Arial"/>
                <w:sz w:val="22"/>
                <w:szCs w:val="22"/>
              </w:rPr>
              <w:t>5% of the materiality</w:t>
            </w:r>
          </w:p>
        </w:tc>
        <w:tc>
          <w:tcPr>
            <w:tcW w:w="484" w:type="pct"/>
            <w:shd w:val="clear" w:color="auto" w:fill="auto"/>
          </w:tcPr>
          <w:p w:rsidR="002F4823" w:rsidRPr="008E3FD6" w:rsidRDefault="002F4823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95372" w:rsidRPr="008E3FD6" w:rsidTr="00281597">
        <w:trPr>
          <w:trHeight w:val="1380"/>
        </w:trPr>
        <w:tc>
          <w:tcPr>
            <w:tcW w:w="974" w:type="pct"/>
            <w:shd w:val="clear" w:color="auto" w:fill="auto"/>
          </w:tcPr>
          <w:p w:rsidR="00695372" w:rsidRPr="008E3FD6" w:rsidRDefault="000A3D07" w:rsidP="001D2CCD">
            <w:pPr>
              <w:tabs>
                <w:tab w:val="left" w:pos="885"/>
              </w:tabs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Related Party Transactions</w:t>
            </w:r>
          </w:p>
        </w:tc>
        <w:tc>
          <w:tcPr>
            <w:tcW w:w="1026" w:type="pct"/>
            <w:shd w:val="clear" w:color="auto" w:fill="auto"/>
          </w:tcPr>
          <w:p w:rsidR="000A3D07" w:rsidRPr="008E3FD6" w:rsidRDefault="000A3D07" w:rsidP="000A3D07">
            <w:p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The nature of relationships and transactions with related parties, including transactions that are outside the normal course of business</w:t>
            </w:r>
          </w:p>
          <w:p w:rsidR="00695372" w:rsidRPr="008E3FD6" w:rsidRDefault="00695372" w:rsidP="001D2CCD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16" w:type="pct"/>
            <w:shd w:val="clear" w:color="auto" w:fill="auto"/>
          </w:tcPr>
          <w:p w:rsidR="004A150D" w:rsidRPr="008E3FD6" w:rsidRDefault="004E4153" w:rsidP="004A150D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  <w:u w:val="single"/>
              </w:rPr>
              <w:t xml:space="preserve">Audit Partner: </w:t>
            </w:r>
            <w:r w:rsidR="00F25820" w:rsidRPr="008E3FD6">
              <w:rPr>
                <w:rFonts w:ascii="Cambria" w:hAnsi="Cambria" w:cs="Arial"/>
                <w:color w:val="000000"/>
                <w:sz w:val="22"/>
                <w:szCs w:val="22"/>
                <w:u w:val="single"/>
              </w:rPr>
              <w:t>-</w:t>
            </w:r>
          </w:p>
          <w:p w:rsidR="00F35FC2" w:rsidRPr="008E3FD6" w:rsidRDefault="00F35FC2" w:rsidP="006375B4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 xml:space="preserve">The chances of significant unusual transactions </w:t>
            </w:r>
            <w:r w:rsidR="006375B4" w:rsidRPr="008E3FD6">
              <w:rPr>
                <w:rFonts w:ascii="Cambria" w:hAnsi="Cambria" w:cs="Arial"/>
                <w:sz w:val="22"/>
                <w:szCs w:val="22"/>
              </w:rPr>
              <w:t>cannot be ignored</w:t>
            </w:r>
            <w:r w:rsidRPr="008E3FD6">
              <w:rPr>
                <w:rFonts w:ascii="Cambria" w:hAnsi="Cambria" w:cs="Arial"/>
                <w:sz w:val="22"/>
                <w:szCs w:val="22"/>
              </w:rPr>
              <w:t xml:space="preserve">. </w:t>
            </w:r>
            <w:r w:rsidR="006375B4" w:rsidRPr="008E3FD6">
              <w:rPr>
                <w:rFonts w:ascii="Cambria" w:hAnsi="Cambria" w:cs="Arial"/>
                <w:sz w:val="22"/>
                <w:szCs w:val="22"/>
              </w:rPr>
              <w:t>T</w:t>
            </w:r>
            <w:r w:rsidRPr="008E3FD6">
              <w:rPr>
                <w:rFonts w:ascii="Cambria" w:hAnsi="Cambria" w:cs="Arial"/>
                <w:sz w:val="22"/>
                <w:szCs w:val="22"/>
              </w:rPr>
              <w:t xml:space="preserve">eam should be </w:t>
            </w:r>
            <w:r w:rsidR="006375B4" w:rsidRPr="008E3FD6">
              <w:rPr>
                <w:rFonts w:ascii="Cambria" w:hAnsi="Cambria" w:cs="Arial"/>
                <w:sz w:val="22"/>
                <w:szCs w:val="22"/>
              </w:rPr>
              <w:t xml:space="preserve">cautious </w:t>
            </w:r>
            <w:r w:rsidRPr="008E3FD6">
              <w:rPr>
                <w:rFonts w:ascii="Cambria" w:hAnsi="Cambria" w:cs="Arial"/>
                <w:sz w:val="22"/>
                <w:szCs w:val="22"/>
              </w:rPr>
              <w:t>about its existence and check for completeness if such transactions occur.</w:t>
            </w:r>
          </w:p>
          <w:p w:rsidR="006375B4" w:rsidRPr="008E3FD6" w:rsidRDefault="006375B4" w:rsidP="006375B4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4" w:type="pct"/>
            <w:shd w:val="clear" w:color="auto" w:fill="auto"/>
          </w:tcPr>
          <w:p w:rsidR="00695372" w:rsidRPr="008E3FD6" w:rsidRDefault="00695372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95372" w:rsidRPr="008E3FD6" w:rsidTr="00281597">
        <w:trPr>
          <w:trHeight w:val="1380"/>
        </w:trPr>
        <w:tc>
          <w:tcPr>
            <w:tcW w:w="974" w:type="pct"/>
            <w:shd w:val="clear" w:color="auto" w:fill="auto"/>
          </w:tcPr>
          <w:p w:rsidR="00695372" w:rsidRPr="008E3FD6" w:rsidRDefault="00F35FC2" w:rsidP="001D2CCD">
            <w:pPr>
              <w:tabs>
                <w:tab w:val="left" w:pos="885"/>
              </w:tabs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Accounting Estimates</w:t>
            </w:r>
          </w:p>
        </w:tc>
        <w:tc>
          <w:tcPr>
            <w:tcW w:w="1026" w:type="pct"/>
            <w:shd w:val="clear" w:color="auto" w:fill="auto"/>
          </w:tcPr>
          <w:p w:rsidR="00F35FC2" w:rsidRPr="008E3FD6" w:rsidRDefault="00ED09F8" w:rsidP="00F35FC2">
            <w:p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K</w:t>
            </w:r>
            <w:r w:rsidR="00F35FC2" w:rsidRPr="008E3FD6">
              <w:rPr>
                <w:rFonts w:ascii="Cambria" w:hAnsi="Cambria" w:cs="Arial"/>
                <w:sz w:val="22"/>
                <w:szCs w:val="22"/>
              </w:rPr>
              <w:t>ey factor influencing the degree of estimation uncertainty will always remain to be the management’s judgment.</w:t>
            </w:r>
          </w:p>
          <w:p w:rsidR="00695372" w:rsidRPr="008E3FD6" w:rsidRDefault="00695372" w:rsidP="001D2CCD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16" w:type="pct"/>
            <w:shd w:val="clear" w:color="auto" w:fill="auto"/>
          </w:tcPr>
          <w:p w:rsidR="00F35FC2" w:rsidRPr="008E3FD6" w:rsidRDefault="00AE4074" w:rsidP="00F35FC2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  <w:u w:val="single"/>
              </w:rPr>
              <w:t>Audit Partner</w:t>
            </w:r>
            <w:r w:rsidR="00F35FC2" w:rsidRPr="008E3FD6">
              <w:rPr>
                <w:rFonts w:ascii="Cambria" w:hAnsi="Cambria" w:cs="Arial"/>
                <w:sz w:val="22"/>
                <w:szCs w:val="22"/>
                <w:u w:val="single"/>
              </w:rPr>
              <w:t xml:space="preserve">: </w:t>
            </w:r>
          </w:p>
          <w:p w:rsidR="00F35FC2" w:rsidRPr="008E3FD6" w:rsidRDefault="004E4153" w:rsidP="00AE4F5C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Draft Financial statements does not show significant accounting estimate</w:t>
            </w:r>
            <w:r w:rsidR="00F35FC2" w:rsidRPr="008E3FD6">
              <w:rPr>
                <w:rFonts w:ascii="Cambria" w:hAnsi="Cambria" w:cs="Arial"/>
                <w:sz w:val="22"/>
                <w:szCs w:val="22"/>
              </w:rPr>
              <w:t>.</w:t>
            </w:r>
            <w:r w:rsidR="00A759B4" w:rsidRPr="008E3FD6">
              <w:rPr>
                <w:rFonts w:ascii="Cambria" w:hAnsi="Cambria" w:cs="Arial"/>
                <w:sz w:val="22"/>
                <w:szCs w:val="22"/>
              </w:rPr>
              <w:t>Hence,</w:t>
            </w:r>
            <w:r w:rsidR="00F35FC2" w:rsidRPr="008E3FD6">
              <w:rPr>
                <w:rFonts w:ascii="Cambria" w:hAnsi="Cambria" w:cs="Arial"/>
                <w:sz w:val="22"/>
                <w:szCs w:val="22"/>
              </w:rPr>
              <w:t xml:space="preserve">He concluded that such degree of uncertainty does not give rise to </w:t>
            </w:r>
            <w:r w:rsidR="00A759B4" w:rsidRPr="008E3FD6">
              <w:rPr>
                <w:rFonts w:ascii="Cambria" w:hAnsi="Cambria" w:cs="Arial"/>
                <w:sz w:val="22"/>
                <w:szCs w:val="22"/>
              </w:rPr>
              <w:t xml:space="preserve">any </w:t>
            </w:r>
            <w:r w:rsidR="00F35FC2" w:rsidRPr="008E3FD6">
              <w:rPr>
                <w:rFonts w:ascii="Cambria" w:hAnsi="Cambria" w:cs="Arial"/>
                <w:sz w:val="22"/>
                <w:szCs w:val="22"/>
              </w:rPr>
              <w:t>significant risk.</w:t>
            </w:r>
          </w:p>
        </w:tc>
        <w:tc>
          <w:tcPr>
            <w:tcW w:w="484" w:type="pct"/>
            <w:shd w:val="clear" w:color="auto" w:fill="auto"/>
          </w:tcPr>
          <w:p w:rsidR="00695372" w:rsidRPr="008E3FD6" w:rsidRDefault="00695372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95372" w:rsidRPr="008E3FD6" w:rsidTr="00281597">
        <w:trPr>
          <w:trHeight w:val="660"/>
        </w:trPr>
        <w:tc>
          <w:tcPr>
            <w:tcW w:w="974" w:type="pct"/>
            <w:shd w:val="clear" w:color="auto" w:fill="auto"/>
          </w:tcPr>
          <w:p w:rsidR="00695372" w:rsidRPr="008E3FD6" w:rsidRDefault="00ED09F8" w:rsidP="001D2CCD">
            <w:pPr>
              <w:tabs>
                <w:tab w:val="left" w:pos="885"/>
              </w:tabs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Fraud</w:t>
            </w:r>
          </w:p>
        </w:tc>
        <w:tc>
          <w:tcPr>
            <w:tcW w:w="1026" w:type="pct"/>
            <w:shd w:val="clear" w:color="auto" w:fill="auto"/>
          </w:tcPr>
          <w:p w:rsidR="00ED09F8" w:rsidRPr="008E3FD6" w:rsidRDefault="00ED09F8" w:rsidP="00ED09F8">
            <w:p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Allegations of fraud that have been brought to attention</w:t>
            </w:r>
          </w:p>
          <w:p w:rsidR="00695372" w:rsidRPr="008E3FD6" w:rsidRDefault="00695372" w:rsidP="001D2CCD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16" w:type="pct"/>
            <w:shd w:val="clear" w:color="auto" w:fill="auto"/>
          </w:tcPr>
          <w:p w:rsidR="00F809F9" w:rsidRPr="008E3FD6" w:rsidRDefault="00AE4074" w:rsidP="00F809F9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  <w:u w:val="single"/>
              </w:rPr>
              <w:t>Audit Partner</w:t>
            </w:r>
            <w:r w:rsidR="00ED09F8" w:rsidRPr="008E3FD6">
              <w:rPr>
                <w:rFonts w:ascii="Cambria" w:hAnsi="Cambria" w:cs="Arial"/>
                <w:sz w:val="22"/>
                <w:szCs w:val="22"/>
                <w:u w:val="single"/>
              </w:rPr>
              <w:t xml:space="preserve">: </w:t>
            </w:r>
          </w:p>
          <w:p w:rsidR="00ED09F8" w:rsidRPr="008E3FD6" w:rsidRDefault="00142863" w:rsidP="00F809F9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I</w:t>
            </w:r>
            <w:r w:rsidR="00ED09F8" w:rsidRPr="008E3FD6">
              <w:rPr>
                <w:rFonts w:ascii="Cambria" w:hAnsi="Cambria" w:cs="Arial"/>
                <w:sz w:val="22"/>
                <w:szCs w:val="22"/>
              </w:rPr>
              <w:t xml:space="preserve">nformed the team that no allegations of fraud have been brought to our attention. In this situation, risk of fraud can be assumed to be minimum. </w:t>
            </w:r>
            <w:r w:rsidR="001A7C0F" w:rsidRPr="008E3FD6">
              <w:rPr>
                <w:rFonts w:ascii="Cambria" w:hAnsi="Cambria" w:cs="Arial"/>
                <w:sz w:val="22"/>
                <w:szCs w:val="22"/>
              </w:rPr>
              <w:t>However,</w:t>
            </w:r>
            <w:r w:rsidR="00ED09F8" w:rsidRPr="008E3FD6">
              <w:rPr>
                <w:rFonts w:ascii="Cambria" w:hAnsi="Cambria" w:cs="Arial"/>
                <w:sz w:val="22"/>
                <w:szCs w:val="22"/>
              </w:rPr>
              <w:t xml:space="preserve"> we would assert fraud risk in completeness and existence of revenue.</w:t>
            </w:r>
          </w:p>
          <w:p w:rsidR="00ED09F8" w:rsidRPr="008E3FD6" w:rsidRDefault="00ED09F8" w:rsidP="00ED09F8">
            <w:pPr>
              <w:rPr>
                <w:rFonts w:ascii="Cambria" w:hAnsi="Cambria" w:cs="Arial"/>
                <w:sz w:val="22"/>
                <w:szCs w:val="22"/>
              </w:rPr>
            </w:pPr>
          </w:p>
          <w:p w:rsidR="00ED09F8" w:rsidRPr="008E3FD6" w:rsidRDefault="00ED09F8" w:rsidP="00ED09F8">
            <w:p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 xml:space="preserve">A consideration of known external and </w:t>
            </w:r>
            <w:r w:rsidRPr="008E3FD6">
              <w:rPr>
                <w:rFonts w:ascii="Cambria" w:hAnsi="Cambria" w:cs="Arial"/>
                <w:sz w:val="22"/>
                <w:szCs w:val="22"/>
              </w:rPr>
              <w:lastRenderedPageBreak/>
              <w:t>internal factors (the “fraud triangle”) affecting the entity by the engagement partner are-</w:t>
            </w:r>
          </w:p>
          <w:p w:rsidR="00ED09F8" w:rsidRPr="008E3FD6" w:rsidRDefault="00ED09F8" w:rsidP="00ED09F8">
            <w:pPr>
              <w:rPr>
                <w:rFonts w:ascii="Cambria" w:hAnsi="Cambria" w:cs="Arial"/>
                <w:sz w:val="22"/>
                <w:szCs w:val="22"/>
              </w:rPr>
            </w:pPr>
          </w:p>
          <w:p w:rsidR="00ED09F8" w:rsidRPr="008E3FD6" w:rsidRDefault="00ED09F8" w:rsidP="00ED09F8">
            <w:pPr>
              <w:numPr>
                <w:ilvl w:val="0"/>
                <w:numId w:val="9"/>
              </w:num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 xml:space="preserve">there might be pressure of achieving incentive compensation targets </w:t>
            </w:r>
          </w:p>
          <w:p w:rsidR="00F809F9" w:rsidRPr="008E3FD6" w:rsidRDefault="00F809F9" w:rsidP="00F809F9">
            <w:pPr>
              <w:numPr>
                <w:ilvl w:val="0"/>
                <w:numId w:val="9"/>
              </w:num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the opportunity for fraud to be perpetuated would be limited.</w:t>
            </w:r>
          </w:p>
          <w:p w:rsidR="00695372" w:rsidRPr="008E3FD6" w:rsidRDefault="00F809F9" w:rsidP="00004B72">
            <w:pPr>
              <w:numPr>
                <w:ilvl w:val="0"/>
                <w:numId w:val="10"/>
              </w:numPr>
              <w:spacing w:after="200" w:line="276" w:lineRule="auto"/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 xml:space="preserve">nothing </w:t>
            </w:r>
            <w:r w:rsidR="001A7C0F" w:rsidRPr="008E3FD6">
              <w:rPr>
                <w:rFonts w:ascii="Cambria" w:hAnsi="Cambria" w:cs="Arial"/>
                <w:sz w:val="22"/>
                <w:szCs w:val="22"/>
              </w:rPr>
              <w:t>indicates</w:t>
            </w:r>
            <w:r w:rsidRPr="008E3FD6">
              <w:rPr>
                <w:rFonts w:ascii="Cambria" w:hAnsi="Cambria" w:cs="Arial"/>
                <w:sz w:val="22"/>
                <w:szCs w:val="22"/>
              </w:rPr>
              <w:t xml:space="preserve"> a culture or environment that enables management or others to rationalize committing fraud</w:t>
            </w:r>
          </w:p>
        </w:tc>
        <w:tc>
          <w:tcPr>
            <w:tcW w:w="484" w:type="pct"/>
            <w:shd w:val="clear" w:color="auto" w:fill="auto"/>
          </w:tcPr>
          <w:p w:rsidR="00695372" w:rsidRPr="008E3FD6" w:rsidRDefault="00695372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95372" w:rsidRPr="008E3FD6" w:rsidTr="00281597">
        <w:trPr>
          <w:trHeight w:val="1059"/>
        </w:trPr>
        <w:tc>
          <w:tcPr>
            <w:tcW w:w="974" w:type="pct"/>
            <w:shd w:val="clear" w:color="auto" w:fill="auto"/>
          </w:tcPr>
          <w:p w:rsidR="00695372" w:rsidRPr="008E3FD6" w:rsidRDefault="00695372" w:rsidP="001D2CCD">
            <w:pPr>
              <w:tabs>
                <w:tab w:val="left" w:pos="885"/>
              </w:tabs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26" w:type="pct"/>
            <w:shd w:val="clear" w:color="auto" w:fill="auto"/>
          </w:tcPr>
          <w:p w:rsidR="00695372" w:rsidRPr="008E3FD6" w:rsidRDefault="00F809F9" w:rsidP="001D2CCD">
            <w:p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Any typical fraud risk involved with revenue recognition</w:t>
            </w:r>
          </w:p>
        </w:tc>
        <w:tc>
          <w:tcPr>
            <w:tcW w:w="2516" w:type="pct"/>
            <w:shd w:val="clear" w:color="auto" w:fill="auto"/>
          </w:tcPr>
          <w:p w:rsidR="00F809F9" w:rsidRPr="008E3FD6" w:rsidRDefault="00AE4074" w:rsidP="00F809F9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  <w:u w:val="single"/>
              </w:rPr>
              <w:t>Audit Partner</w:t>
            </w:r>
            <w:r w:rsidR="00F809F9" w:rsidRPr="008E3FD6">
              <w:rPr>
                <w:rFonts w:ascii="Cambria" w:hAnsi="Cambria" w:cs="Arial"/>
                <w:sz w:val="22"/>
                <w:szCs w:val="22"/>
                <w:u w:val="single"/>
              </w:rPr>
              <w:t>:</w:t>
            </w:r>
          </w:p>
          <w:p w:rsidR="00F809F9" w:rsidRPr="008E3FD6" w:rsidRDefault="00142863" w:rsidP="00F809F9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E</w:t>
            </w:r>
            <w:r w:rsidR="00F809F9" w:rsidRPr="008E3FD6">
              <w:rPr>
                <w:rFonts w:ascii="Cambria" w:hAnsi="Cambria" w:cs="Arial"/>
                <w:sz w:val="22"/>
                <w:szCs w:val="22"/>
              </w:rPr>
              <w:t>mphasized on proper checking of sales cutoff</w:t>
            </w:r>
            <w:r w:rsidR="00004B72" w:rsidRPr="008E3FD6">
              <w:rPr>
                <w:rFonts w:ascii="Cambria" w:hAnsi="Cambria" w:cs="Arial"/>
                <w:sz w:val="22"/>
                <w:szCs w:val="22"/>
              </w:rPr>
              <w:t xml:space="preserve"> and vouching sales transactions</w:t>
            </w:r>
            <w:r w:rsidR="00F809F9" w:rsidRPr="008E3FD6">
              <w:rPr>
                <w:rFonts w:ascii="Cambria" w:hAnsi="Cambria" w:cs="Arial"/>
                <w:sz w:val="22"/>
                <w:szCs w:val="22"/>
              </w:rPr>
              <w:t>.</w:t>
            </w:r>
          </w:p>
          <w:p w:rsidR="00695372" w:rsidRPr="008E3FD6" w:rsidRDefault="00695372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4" w:type="pct"/>
            <w:shd w:val="clear" w:color="auto" w:fill="auto"/>
          </w:tcPr>
          <w:p w:rsidR="00695372" w:rsidRPr="008E3FD6" w:rsidRDefault="00695372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95372" w:rsidRPr="008E3FD6" w:rsidTr="00281597">
        <w:trPr>
          <w:trHeight w:val="1380"/>
        </w:trPr>
        <w:tc>
          <w:tcPr>
            <w:tcW w:w="974" w:type="pct"/>
            <w:shd w:val="clear" w:color="auto" w:fill="auto"/>
          </w:tcPr>
          <w:p w:rsidR="00492F80" w:rsidRPr="008E3FD6" w:rsidRDefault="00492F80" w:rsidP="00492F80">
            <w:pPr>
              <w:rPr>
                <w:rFonts w:ascii="Cambria" w:hAnsi="Cambria" w:cs="Arial"/>
                <w:bCs/>
                <w:sz w:val="22"/>
                <w:szCs w:val="22"/>
              </w:rPr>
            </w:pPr>
            <w:r w:rsidRPr="008E3FD6">
              <w:rPr>
                <w:rFonts w:ascii="Cambria" w:hAnsi="Cambria" w:cs="Arial"/>
                <w:bCs/>
                <w:sz w:val="22"/>
                <w:szCs w:val="22"/>
              </w:rPr>
              <w:t>Journal entry</w:t>
            </w:r>
          </w:p>
          <w:p w:rsidR="00695372" w:rsidRPr="008E3FD6" w:rsidRDefault="00695372" w:rsidP="001D2CCD">
            <w:pPr>
              <w:tabs>
                <w:tab w:val="left" w:pos="885"/>
              </w:tabs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26" w:type="pct"/>
            <w:shd w:val="clear" w:color="auto" w:fill="auto"/>
          </w:tcPr>
          <w:p w:rsidR="00F809F9" w:rsidRPr="008E3FD6" w:rsidRDefault="00F809F9" w:rsidP="00F809F9">
            <w:pPr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Risk of management override of controls, including override through journal entries</w:t>
            </w:r>
          </w:p>
          <w:p w:rsidR="00695372" w:rsidRPr="008E3FD6" w:rsidRDefault="00695372" w:rsidP="001D2CCD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16" w:type="pct"/>
            <w:shd w:val="clear" w:color="auto" w:fill="auto"/>
          </w:tcPr>
          <w:p w:rsidR="00F809F9" w:rsidRPr="008E3FD6" w:rsidRDefault="00AE4074" w:rsidP="00F809F9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  <w:u w:val="single"/>
              </w:rPr>
              <w:t>Audit Partner</w:t>
            </w:r>
            <w:r w:rsidR="00F809F9" w:rsidRPr="008E3FD6">
              <w:rPr>
                <w:rFonts w:ascii="Cambria" w:hAnsi="Cambria" w:cs="Arial"/>
                <w:sz w:val="22"/>
                <w:szCs w:val="22"/>
                <w:u w:val="single"/>
              </w:rPr>
              <w:t>:</w:t>
            </w:r>
          </w:p>
          <w:p w:rsidR="00492F80" w:rsidRPr="008E3FD6" w:rsidRDefault="00492F80" w:rsidP="00F809F9">
            <w:pPr>
              <w:rPr>
                <w:rFonts w:ascii="Cambria" w:hAnsi="Cambria" w:cs="Arial"/>
                <w:sz w:val="22"/>
                <w:szCs w:val="22"/>
              </w:rPr>
            </w:pPr>
          </w:p>
          <w:p w:rsidR="00695372" w:rsidRPr="008E3FD6" w:rsidRDefault="00DC53BA" w:rsidP="00DC53BA">
            <w:p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F</w:t>
            </w:r>
            <w:r w:rsidR="00492F80" w:rsidRPr="008E3FD6">
              <w:rPr>
                <w:rFonts w:ascii="Cambria" w:hAnsi="Cambria" w:cs="Arial"/>
                <w:sz w:val="22"/>
                <w:szCs w:val="22"/>
              </w:rPr>
              <w:t xml:space="preserve">ind out </w:t>
            </w:r>
            <w:r w:rsidR="00AE352B" w:rsidRPr="008E3FD6">
              <w:rPr>
                <w:rFonts w:ascii="Cambria" w:hAnsi="Cambria" w:cs="Arial"/>
                <w:sz w:val="22"/>
                <w:szCs w:val="22"/>
              </w:rPr>
              <w:t xml:space="preserve">high </w:t>
            </w:r>
            <w:r w:rsidR="00492F80" w:rsidRPr="008E3FD6">
              <w:rPr>
                <w:rFonts w:ascii="Cambria" w:hAnsi="Cambria" w:cs="Arial"/>
                <w:sz w:val="22"/>
                <w:szCs w:val="22"/>
              </w:rPr>
              <w:t>risk journal entries and perform test of details on high-risk journal entri</w:t>
            </w:r>
            <w:r w:rsidRPr="008E3FD6">
              <w:rPr>
                <w:rFonts w:ascii="Cambria" w:hAnsi="Cambria" w:cs="Arial"/>
                <w:sz w:val="22"/>
                <w:szCs w:val="22"/>
              </w:rPr>
              <w:t>es. The high risk JE determination is mentioned in JE understanding folder.</w:t>
            </w:r>
            <w:r w:rsidR="00281597" w:rsidRPr="008E3FD6">
              <w:rPr>
                <w:rFonts w:ascii="Cambria" w:hAnsi="Cambria" w:cs="Arial"/>
                <w:sz w:val="22"/>
                <w:szCs w:val="22"/>
              </w:rPr>
              <w:t xml:space="preserve"> We have to also perform completeness test on JEs using roll forward procedures.</w:t>
            </w:r>
          </w:p>
          <w:p w:rsidR="00281597" w:rsidRPr="008E3FD6" w:rsidRDefault="00281597" w:rsidP="00DC53BA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4" w:type="pct"/>
            <w:shd w:val="clear" w:color="auto" w:fill="auto"/>
          </w:tcPr>
          <w:p w:rsidR="00695372" w:rsidRPr="008E3FD6" w:rsidRDefault="00695372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95372" w:rsidRPr="008E3FD6" w:rsidTr="00281597">
        <w:trPr>
          <w:trHeight w:val="2037"/>
        </w:trPr>
        <w:tc>
          <w:tcPr>
            <w:tcW w:w="974" w:type="pct"/>
            <w:shd w:val="clear" w:color="auto" w:fill="auto"/>
          </w:tcPr>
          <w:p w:rsidR="00A07632" w:rsidRPr="008E3FD6" w:rsidRDefault="00A07632" w:rsidP="00A07632">
            <w:pPr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8E3FD6">
              <w:rPr>
                <w:rFonts w:ascii="Cambria" w:hAnsi="Cambria" w:cs="Arial"/>
                <w:bCs/>
                <w:sz w:val="22"/>
                <w:szCs w:val="22"/>
              </w:rPr>
              <w:t>Risks of Material Misstatement</w:t>
            </w:r>
          </w:p>
          <w:p w:rsidR="00695372" w:rsidRPr="008E3FD6" w:rsidRDefault="00695372" w:rsidP="001D2CCD">
            <w:pPr>
              <w:tabs>
                <w:tab w:val="left" w:pos="885"/>
              </w:tabs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26" w:type="pct"/>
            <w:shd w:val="clear" w:color="auto" w:fill="auto"/>
          </w:tcPr>
          <w:p w:rsidR="00A07632" w:rsidRPr="008E3FD6" w:rsidRDefault="00A07632" w:rsidP="00A07632">
            <w:pPr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Identify and assess the risks of material misstatement, whether caused by fraud or error</w:t>
            </w:r>
          </w:p>
          <w:p w:rsidR="00695372" w:rsidRPr="008E3FD6" w:rsidRDefault="00695372" w:rsidP="001D2CCD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16" w:type="pct"/>
            <w:shd w:val="clear" w:color="auto" w:fill="auto"/>
          </w:tcPr>
          <w:p w:rsidR="002F7590" w:rsidRPr="008E3FD6" w:rsidRDefault="00AE4074" w:rsidP="002F7590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  <w:u w:val="single"/>
              </w:rPr>
              <w:t>Audit Partner</w:t>
            </w:r>
            <w:r w:rsidR="002F7590" w:rsidRPr="008E3FD6">
              <w:rPr>
                <w:rFonts w:ascii="Cambria" w:hAnsi="Cambria" w:cs="Arial"/>
                <w:sz w:val="22"/>
                <w:szCs w:val="22"/>
                <w:u w:val="single"/>
              </w:rPr>
              <w:t>:</w:t>
            </w:r>
          </w:p>
          <w:p w:rsidR="002F7590" w:rsidRPr="008E3FD6" w:rsidRDefault="00142863" w:rsidP="006375B4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E</w:t>
            </w:r>
            <w:r w:rsidR="004A150D" w:rsidRPr="008E3FD6">
              <w:rPr>
                <w:rFonts w:ascii="Cambria" w:hAnsi="Cambria" w:cs="Arial"/>
                <w:sz w:val="22"/>
                <w:szCs w:val="22"/>
              </w:rPr>
              <w:t>mphasized on adhering to the RO</w:t>
            </w:r>
            <w:r w:rsidR="002F7590" w:rsidRPr="008E3FD6">
              <w:rPr>
                <w:rFonts w:ascii="Cambria" w:hAnsi="Cambria" w:cs="Arial"/>
                <w:sz w:val="22"/>
                <w:szCs w:val="22"/>
              </w:rPr>
              <w:t>MM Matrix in order to determine risks of material misstatement, whether</w:t>
            </w:r>
            <w:r w:rsidR="00ED2A7D" w:rsidRPr="008E3FD6">
              <w:rPr>
                <w:rFonts w:ascii="Cambria" w:hAnsi="Cambria" w:cs="Arial"/>
                <w:sz w:val="22"/>
                <w:szCs w:val="22"/>
              </w:rPr>
              <w:t xml:space="preserve"> caused by fraud or error, and on other audit adjustments, significant accounting estimates, or significant unusual transactions, and the risk of fraudulent revenue recognition.</w:t>
            </w:r>
          </w:p>
          <w:p w:rsidR="00695372" w:rsidRPr="008E3FD6" w:rsidRDefault="00695372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4" w:type="pct"/>
            <w:shd w:val="clear" w:color="auto" w:fill="auto"/>
          </w:tcPr>
          <w:p w:rsidR="00695372" w:rsidRPr="008E3FD6" w:rsidRDefault="00695372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95372" w:rsidRPr="008E3FD6" w:rsidTr="00281597">
        <w:trPr>
          <w:trHeight w:val="1380"/>
        </w:trPr>
        <w:tc>
          <w:tcPr>
            <w:tcW w:w="974" w:type="pct"/>
            <w:shd w:val="clear" w:color="auto" w:fill="auto"/>
          </w:tcPr>
          <w:p w:rsidR="00695372" w:rsidRPr="008E3FD6" w:rsidRDefault="002F7590" w:rsidP="00350B50">
            <w:pPr>
              <w:tabs>
                <w:tab w:val="left" w:pos="885"/>
              </w:tabs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lastRenderedPageBreak/>
              <w:t>Significant risk</w:t>
            </w:r>
            <w:r w:rsidR="00350B50" w:rsidRPr="008E3FD6">
              <w:rPr>
                <w:rFonts w:ascii="Cambria" w:hAnsi="Cambria" w:cs="Arial"/>
                <w:sz w:val="22"/>
                <w:szCs w:val="22"/>
              </w:rPr>
              <w:t xml:space="preserve">&amp; other matters  </w:t>
            </w:r>
          </w:p>
        </w:tc>
        <w:tc>
          <w:tcPr>
            <w:tcW w:w="1026" w:type="pct"/>
            <w:shd w:val="clear" w:color="auto" w:fill="auto"/>
          </w:tcPr>
          <w:p w:rsidR="00695372" w:rsidRPr="008E3FD6" w:rsidRDefault="00281597" w:rsidP="001D2CCD">
            <w:p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A</w:t>
            </w:r>
            <w:r w:rsidR="002F7590" w:rsidRPr="008E3FD6">
              <w:rPr>
                <w:rFonts w:ascii="Cambria" w:hAnsi="Cambria" w:cs="Arial"/>
                <w:sz w:val="22"/>
                <w:szCs w:val="22"/>
              </w:rPr>
              <w:t>udit procedures for significant risk</w:t>
            </w:r>
          </w:p>
        </w:tc>
        <w:tc>
          <w:tcPr>
            <w:tcW w:w="2516" w:type="pct"/>
            <w:shd w:val="clear" w:color="auto" w:fill="auto"/>
          </w:tcPr>
          <w:p w:rsidR="002F7590" w:rsidRPr="008E3FD6" w:rsidRDefault="00AE4074" w:rsidP="006375B4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  <w:u w:val="single"/>
              </w:rPr>
              <w:t>Audit Manager</w:t>
            </w:r>
            <w:r w:rsidR="002F4823" w:rsidRPr="008E3FD6">
              <w:rPr>
                <w:rFonts w:ascii="Cambria" w:hAnsi="Cambria" w:cs="Arial"/>
                <w:sz w:val="22"/>
                <w:szCs w:val="22"/>
                <w:u w:val="single"/>
              </w:rPr>
              <w:t>–</w:t>
            </w:r>
          </w:p>
          <w:p w:rsidR="00281597" w:rsidRPr="008E3FD6" w:rsidRDefault="00281597" w:rsidP="006375B4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2F4823" w:rsidRPr="008E3FD6" w:rsidRDefault="002F4823" w:rsidP="006375B4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No account has been assessed as significant risky. Moreover, it is assumed that substantive test alone is sufficient to gather sufficient appropriate audit evidence</w:t>
            </w:r>
            <w:r w:rsidR="00DC53BA" w:rsidRPr="008E3FD6">
              <w:rPr>
                <w:rFonts w:ascii="Cambria" w:hAnsi="Cambria" w:cs="Arial"/>
                <w:sz w:val="22"/>
                <w:szCs w:val="22"/>
              </w:rPr>
              <w:t>.</w:t>
            </w:r>
            <w:r w:rsidRPr="008E3FD6">
              <w:rPr>
                <w:rFonts w:ascii="Cambria" w:hAnsi="Cambria" w:cs="Arial"/>
                <w:sz w:val="22"/>
                <w:szCs w:val="22"/>
              </w:rPr>
              <w:t>Substantive Analytical Procedures and Tests of Details were designed to address the identified risk</w:t>
            </w:r>
            <w:r w:rsidR="00281597" w:rsidRPr="008E3FD6">
              <w:rPr>
                <w:rFonts w:ascii="Cambria" w:hAnsi="Cambria" w:cs="Arial"/>
                <w:sz w:val="22"/>
                <w:szCs w:val="22"/>
              </w:rPr>
              <w:t>s</w:t>
            </w:r>
            <w:r w:rsidRPr="008E3FD6">
              <w:rPr>
                <w:rFonts w:ascii="Cambria" w:hAnsi="Cambria" w:cs="Arial"/>
                <w:sz w:val="22"/>
                <w:szCs w:val="22"/>
              </w:rPr>
              <w:t>.</w:t>
            </w:r>
          </w:p>
          <w:p w:rsidR="002F4823" w:rsidRPr="008E3FD6" w:rsidRDefault="002F4823" w:rsidP="006375B4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</w:p>
          <w:p w:rsidR="002F7590" w:rsidRPr="008E3FD6" w:rsidRDefault="002F7590" w:rsidP="006375B4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Identified other matters to consider-</w:t>
            </w:r>
          </w:p>
          <w:p w:rsidR="002F7590" w:rsidRPr="008E3FD6" w:rsidRDefault="002F7590" w:rsidP="006375B4">
            <w:pPr>
              <w:numPr>
                <w:ilvl w:val="0"/>
                <w:numId w:val="11"/>
              </w:num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element</w:t>
            </w:r>
            <w:r w:rsidR="00350B50" w:rsidRPr="008E3FD6">
              <w:rPr>
                <w:rFonts w:ascii="Cambria" w:hAnsi="Cambria" w:cs="Arial"/>
                <w:sz w:val="22"/>
                <w:szCs w:val="22"/>
              </w:rPr>
              <w:t>s</w:t>
            </w:r>
            <w:r w:rsidRPr="008E3FD6">
              <w:rPr>
                <w:rFonts w:ascii="Cambria" w:hAnsi="Cambria" w:cs="Arial"/>
                <w:sz w:val="22"/>
                <w:szCs w:val="22"/>
              </w:rPr>
              <w:t xml:space="preserve"> of unpredictability in our audit procedures</w:t>
            </w:r>
          </w:p>
          <w:p w:rsidR="002F7590" w:rsidRPr="008E3FD6" w:rsidRDefault="002F7590" w:rsidP="006375B4">
            <w:pPr>
              <w:numPr>
                <w:ilvl w:val="0"/>
                <w:numId w:val="11"/>
              </w:num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bCs/>
                <w:sz w:val="22"/>
                <w:szCs w:val="22"/>
              </w:rPr>
              <w:t>Professional skepticism</w:t>
            </w:r>
          </w:p>
          <w:p w:rsidR="002F7590" w:rsidRPr="008E3FD6" w:rsidRDefault="002F7590" w:rsidP="006375B4">
            <w:pPr>
              <w:numPr>
                <w:ilvl w:val="0"/>
                <w:numId w:val="11"/>
              </w:num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 xml:space="preserve">Compliance with relevant independence and ethical requirements </w:t>
            </w:r>
          </w:p>
          <w:p w:rsidR="002F7590" w:rsidRPr="008E3FD6" w:rsidRDefault="002F7590" w:rsidP="006375B4">
            <w:pPr>
              <w:numPr>
                <w:ilvl w:val="0"/>
                <w:numId w:val="11"/>
              </w:num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 xml:space="preserve">Techniques </w:t>
            </w:r>
            <w:r w:rsidRPr="008E3FD6">
              <w:rPr>
                <w:rFonts w:ascii="Cambria" w:hAnsi="Cambria" w:cs="Arial"/>
                <w:bCs/>
                <w:sz w:val="22"/>
                <w:szCs w:val="22"/>
              </w:rPr>
              <w:t>to resolve disagreements among team members</w:t>
            </w:r>
            <w:r w:rsidRPr="008E3FD6">
              <w:rPr>
                <w:rFonts w:ascii="Cambria" w:hAnsi="Cambria" w:cs="Arial"/>
                <w:sz w:val="22"/>
                <w:szCs w:val="22"/>
              </w:rPr>
              <w:t>.</w:t>
            </w:r>
          </w:p>
          <w:p w:rsidR="00695372" w:rsidRPr="008E3FD6" w:rsidRDefault="00695372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4" w:type="pct"/>
            <w:shd w:val="clear" w:color="auto" w:fill="auto"/>
          </w:tcPr>
          <w:p w:rsidR="00695372" w:rsidRPr="008E3FD6" w:rsidRDefault="00695372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583940" w:rsidRPr="008E3FD6" w:rsidTr="00281597">
        <w:trPr>
          <w:trHeight w:val="1380"/>
        </w:trPr>
        <w:tc>
          <w:tcPr>
            <w:tcW w:w="974" w:type="pct"/>
            <w:shd w:val="clear" w:color="auto" w:fill="auto"/>
          </w:tcPr>
          <w:p w:rsidR="00583940" w:rsidRPr="008E3FD6" w:rsidRDefault="00583940" w:rsidP="00350B50">
            <w:pPr>
              <w:tabs>
                <w:tab w:val="left" w:pos="885"/>
              </w:tabs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 xml:space="preserve">GITC and </w:t>
            </w:r>
            <w:r w:rsidR="00281597" w:rsidRPr="008E3FD6">
              <w:rPr>
                <w:rFonts w:ascii="Cambria" w:hAnsi="Cambria" w:cs="Arial"/>
                <w:sz w:val="22"/>
                <w:szCs w:val="22"/>
              </w:rPr>
              <w:t>IT Audit team</w:t>
            </w:r>
            <w:r w:rsidRPr="008E3FD6">
              <w:rPr>
                <w:rFonts w:ascii="Cambria" w:hAnsi="Cambria" w:cs="Arial"/>
                <w:sz w:val="22"/>
                <w:szCs w:val="22"/>
              </w:rPr>
              <w:t xml:space="preserve"> involvement</w:t>
            </w:r>
          </w:p>
        </w:tc>
        <w:tc>
          <w:tcPr>
            <w:tcW w:w="1026" w:type="pct"/>
            <w:shd w:val="clear" w:color="auto" w:fill="auto"/>
          </w:tcPr>
          <w:p w:rsidR="00583940" w:rsidRPr="008E3FD6" w:rsidRDefault="00583940" w:rsidP="001D2CCD">
            <w:pPr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 xml:space="preserve">GITC test and Consideration of </w:t>
            </w:r>
            <w:r w:rsidR="004E5458" w:rsidRPr="008E3FD6">
              <w:rPr>
                <w:rFonts w:ascii="Cambria" w:hAnsi="Cambria" w:cs="Arial"/>
                <w:sz w:val="22"/>
                <w:szCs w:val="22"/>
              </w:rPr>
              <w:t>IT audit team</w:t>
            </w:r>
            <w:r w:rsidRPr="008E3FD6">
              <w:rPr>
                <w:rFonts w:ascii="Cambria" w:hAnsi="Cambria" w:cs="Arial"/>
                <w:sz w:val="22"/>
                <w:szCs w:val="22"/>
              </w:rPr>
              <w:t xml:space="preserve"> involvement</w:t>
            </w:r>
          </w:p>
        </w:tc>
        <w:tc>
          <w:tcPr>
            <w:tcW w:w="2516" w:type="pct"/>
            <w:shd w:val="clear" w:color="auto" w:fill="auto"/>
          </w:tcPr>
          <w:p w:rsidR="00583940" w:rsidRPr="008E3FD6" w:rsidRDefault="00AE4074" w:rsidP="00AD0D77">
            <w:pPr>
              <w:jc w:val="both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8E3FD6">
              <w:rPr>
                <w:rFonts w:ascii="Cambria" w:hAnsi="Cambria" w:cs="Arial"/>
                <w:sz w:val="22"/>
                <w:szCs w:val="22"/>
                <w:u w:val="single"/>
              </w:rPr>
              <w:t xml:space="preserve">Audit </w:t>
            </w:r>
            <w:r w:rsidR="00A759B4" w:rsidRPr="008E3FD6">
              <w:rPr>
                <w:rFonts w:ascii="Cambria" w:hAnsi="Cambria" w:cs="Arial"/>
                <w:sz w:val="22"/>
                <w:szCs w:val="22"/>
                <w:u w:val="single"/>
              </w:rPr>
              <w:t>Manager</w:t>
            </w:r>
            <w:r w:rsidR="00583940" w:rsidRPr="008E3FD6">
              <w:rPr>
                <w:rFonts w:ascii="Cambria" w:hAnsi="Cambria" w:cs="Arial"/>
                <w:sz w:val="22"/>
                <w:szCs w:val="22"/>
                <w:u w:val="single"/>
              </w:rPr>
              <w:t>:</w:t>
            </w:r>
          </w:p>
          <w:p w:rsidR="00AD0D77" w:rsidRPr="008E3FD6" w:rsidRDefault="00AD0D77" w:rsidP="00AD0D7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A759B4" w:rsidRPr="008E3FD6" w:rsidRDefault="00281597" w:rsidP="00AD0D7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E3FD6">
              <w:rPr>
                <w:rFonts w:ascii="Cambria" w:hAnsi="Cambria" w:cs="Arial"/>
                <w:sz w:val="22"/>
                <w:szCs w:val="22"/>
              </w:rPr>
              <w:t>Since we are not relying on controls, IT team involvement is not required.</w:t>
            </w:r>
          </w:p>
          <w:p w:rsidR="00AD0D77" w:rsidRPr="008E3FD6" w:rsidRDefault="00AD0D77" w:rsidP="00246708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4" w:type="pct"/>
            <w:shd w:val="clear" w:color="auto" w:fill="auto"/>
          </w:tcPr>
          <w:p w:rsidR="00583940" w:rsidRPr="008E3FD6" w:rsidRDefault="00583940" w:rsidP="001D2CCD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7314A5" w:rsidRPr="008E3FD6" w:rsidRDefault="007314A5" w:rsidP="000D3246">
      <w:pPr>
        <w:tabs>
          <w:tab w:val="left" w:pos="2880"/>
        </w:tabs>
        <w:rPr>
          <w:rFonts w:ascii="Cambria" w:hAnsi="Cambria" w:cs="Arial"/>
          <w:sz w:val="22"/>
          <w:szCs w:val="22"/>
        </w:rPr>
      </w:pPr>
    </w:p>
    <w:sectPr w:rsidR="007314A5" w:rsidRPr="008E3FD6" w:rsidSect="000E2F64">
      <w:headerReference w:type="default" r:id="rId8"/>
      <w:pgSz w:w="12240" w:h="15840"/>
      <w:pgMar w:top="1440" w:right="1800" w:bottom="2970" w:left="1800" w:header="720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B5A" w:rsidRDefault="00923B5A">
      <w:r>
        <w:separator/>
      </w:r>
    </w:p>
  </w:endnote>
  <w:endnote w:type="continuationSeparator" w:id="1">
    <w:p w:rsidR="00923B5A" w:rsidRDefault="00923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B5A" w:rsidRDefault="00923B5A">
      <w:r>
        <w:separator/>
      </w:r>
    </w:p>
  </w:footnote>
  <w:footnote w:type="continuationSeparator" w:id="1">
    <w:p w:rsidR="00923B5A" w:rsidRDefault="00923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447" w:rsidRDefault="00FF3447">
    <w:pPr>
      <w:pStyle w:val="Header"/>
      <w:rPr>
        <w:sz w:val="18"/>
        <w:szCs w:val="18"/>
      </w:rPr>
    </w:pPr>
  </w:p>
  <w:tbl>
    <w:tblPr>
      <w:tblW w:w="9215" w:type="dxa"/>
      <w:tblLayout w:type="fixed"/>
      <w:tblLook w:val="0000"/>
    </w:tblPr>
    <w:tblGrid>
      <w:gridCol w:w="5104"/>
      <w:gridCol w:w="4111"/>
    </w:tblGrid>
    <w:tr w:rsidR="00FF3447" w:rsidRPr="00BF1C13">
      <w:trPr>
        <w:trHeight w:val="693"/>
      </w:trPr>
      <w:tc>
        <w:tcPr>
          <w:tcW w:w="5104" w:type="dxa"/>
        </w:tcPr>
        <w:p w:rsidR="00FF3447" w:rsidRPr="005D1752" w:rsidRDefault="0034613E" w:rsidP="005D1752">
          <w:pPr>
            <w:pStyle w:val="Header"/>
            <w:tabs>
              <w:tab w:val="clear" w:pos="4320"/>
              <w:tab w:val="clear" w:pos="8640"/>
              <w:tab w:val="left" w:pos="6300"/>
            </w:tabs>
            <w:rPr>
              <w:rFonts w:ascii="Arial" w:hAnsi="Arial" w:cs="Arial"/>
              <w:sz w:val="22"/>
              <w:szCs w:val="22"/>
            </w:rPr>
          </w:pPr>
          <w:r>
            <w:tab/>
          </w:r>
        </w:p>
      </w:tc>
      <w:tc>
        <w:tcPr>
          <w:tcW w:w="4111" w:type="dxa"/>
        </w:tcPr>
        <w:p w:rsidR="00FF3447" w:rsidRPr="0035772A" w:rsidRDefault="00122D85" w:rsidP="006E5F66">
          <w:pPr>
            <w:pStyle w:val="Documentname"/>
            <w:jc w:val="left"/>
            <w:rPr>
              <w:rFonts w:ascii="Times New Roman" w:hAnsi="Times New Roman"/>
              <w:b/>
              <w:bCs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>Risk assessment and planning discussion</w:t>
          </w:r>
        </w:p>
      </w:tc>
    </w:tr>
  </w:tbl>
  <w:p w:rsidR="00FF3447" w:rsidRPr="005D1752" w:rsidRDefault="00FF3447" w:rsidP="005D1752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B7F69"/>
    <w:multiLevelType w:val="hybridMultilevel"/>
    <w:tmpl w:val="0422E4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D784C"/>
    <w:multiLevelType w:val="hybridMultilevel"/>
    <w:tmpl w:val="97ECA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C506F"/>
    <w:multiLevelType w:val="hybridMultilevel"/>
    <w:tmpl w:val="2FC88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F7CB7"/>
    <w:multiLevelType w:val="hybridMultilevel"/>
    <w:tmpl w:val="AA8E92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854D3"/>
    <w:multiLevelType w:val="hybridMultilevel"/>
    <w:tmpl w:val="D88ABE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6F0DF3"/>
    <w:multiLevelType w:val="hybridMultilevel"/>
    <w:tmpl w:val="D0F28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C0D7E"/>
    <w:multiLevelType w:val="singleLevel"/>
    <w:tmpl w:val="328A4B1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>
    <w:nsid w:val="3F8F077C"/>
    <w:multiLevelType w:val="hybridMultilevel"/>
    <w:tmpl w:val="3B128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3450C8"/>
    <w:multiLevelType w:val="hybridMultilevel"/>
    <w:tmpl w:val="97287E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8101B3"/>
    <w:multiLevelType w:val="hybridMultilevel"/>
    <w:tmpl w:val="D1F0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A91229"/>
    <w:multiLevelType w:val="hybridMultilevel"/>
    <w:tmpl w:val="ADD2FD9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2297E8B"/>
    <w:multiLevelType w:val="hybridMultilevel"/>
    <w:tmpl w:val="DB2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10"/>
  </w:num>
  <w:num w:numId="9">
    <w:abstractNumId w:val="5"/>
  </w:num>
  <w:num w:numId="10">
    <w:abstractNumId w:val="7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D3246"/>
    <w:rsid w:val="00002EAA"/>
    <w:rsid w:val="00003A92"/>
    <w:rsid w:val="00004B72"/>
    <w:rsid w:val="00006ED4"/>
    <w:rsid w:val="00022396"/>
    <w:rsid w:val="000242B7"/>
    <w:rsid w:val="000270E3"/>
    <w:rsid w:val="0003597C"/>
    <w:rsid w:val="0003667C"/>
    <w:rsid w:val="00043F0E"/>
    <w:rsid w:val="00044D68"/>
    <w:rsid w:val="00046F4D"/>
    <w:rsid w:val="00062B97"/>
    <w:rsid w:val="0006358A"/>
    <w:rsid w:val="000656FA"/>
    <w:rsid w:val="00067AC8"/>
    <w:rsid w:val="0007059E"/>
    <w:rsid w:val="000920BF"/>
    <w:rsid w:val="00096C4E"/>
    <w:rsid w:val="000A3D07"/>
    <w:rsid w:val="000C24E9"/>
    <w:rsid w:val="000C4428"/>
    <w:rsid w:val="000D3246"/>
    <w:rsid w:val="000D45D2"/>
    <w:rsid w:val="000D590A"/>
    <w:rsid w:val="000E2F64"/>
    <w:rsid w:val="000F3B85"/>
    <w:rsid w:val="000F3CED"/>
    <w:rsid w:val="000F5739"/>
    <w:rsid w:val="0010017C"/>
    <w:rsid w:val="0010637F"/>
    <w:rsid w:val="00107F02"/>
    <w:rsid w:val="00111D7C"/>
    <w:rsid w:val="00122D85"/>
    <w:rsid w:val="00124FCA"/>
    <w:rsid w:val="00142863"/>
    <w:rsid w:val="0014727D"/>
    <w:rsid w:val="00147718"/>
    <w:rsid w:val="00156E51"/>
    <w:rsid w:val="0017664A"/>
    <w:rsid w:val="001872CA"/>
    <w:rsid w:val="00190961"/>
    <w:rsid w:val="001A2696"/>
    <w:rsid w:val="001A7C0F"/>
    <w:rsid w:val="001C441E"/>
    <w:rsid w:val="001D2CCD"/>
    <w:rsid w:val="001D6F3D"/>
    <w:rsid w:val="001E341D"/>
    <w:rsid w:val="001E6CB9"/>
    <w:rsid w:val="001F2443"/>
    <w:rsid w:val="001F25BC"/>
    <w:rsid w:val="00204DFD"/>
    <w:rsid w:val="00207627"/>
    <w:rsid w:val="00210058"/>
    <w:rsid w:val="002277B8"/>
    <w:rsid w:val="00230EDD"/>
    <w:rsid w:val="002448ED"/>
    <w:rsid w:val="00246708"/>
    <w:rsid w:val="00251E41"/>
    <w:rsid w:val="00262E4C"/>
    <w:rsid w:val="00271148"/>
    <w:rsid w:val="0027309B"/>
    <w:rsid w:val="00281597"/>
    <w:rsid w:val="00294681"/>
    <w:rsid w:val="00295BFF"/>
    <w:rsid w:val="002A6F29"/>
    <w:rsid w:val="002B7756"/>
    <w:rsid w:val="002D78A7"/>
    <w:rsid w:val="002E207B"/>
    <w:rsid w:val="002E2BEC"/>
    <w:rsid w:val="002E4703"/>
    <w:rsid w:val="002F0F4A"/>
    <w:rsid w:val="002F4823"/>
    <w:rsid w:val="002F7590"/>
    <w:rsid w:val="00312B15"/>
    <w:rsid w:val="00320CCD"/>
    <w:rsid w:val="0032655F"/>
    <w:rsid w:val="00327971"/>
    <w:rsid w:val="0034613E"/>
    <w:rsid w:val="00350B50"/>
    <w:rsid w:val="0035772A"/>
    <w:rsid w:val="003718E6"/>
    <w:rsid w:val="00384D4C"/>
    <w:rsid w:val="003869AE"/>
    <w:rsid w:val="00387C95"/>
    <w:rsid w:val="00395A7C"/>
    <w:rsid w:val="003A0F3A"/>
    <w:rsid w:val="003A2A28"/>
    <w:rsid w:val="003A514D"/>
    <w:rsid w:val="003A78AF"/>
    <w:rsid w:val="003C75F4"/>
    <w:rsid w:val="003D0EAE"/>
    <w:rsid w:val="003E4277"/>
    <w:rsid w:val="003F60B0"/>
    <w:rsid w:val="00401F13"/>
    <w:rsid w:val="0040275B"/>
    <w:rsid w:val="00403978"/>
    <w:rsid w:val="00407043"/>
    <w:rsid w:val="00411839"/>
    <w:rsid w:val="00415887"/>
    <w:rsid w:val="004158E9"/>
    <w:rsid w:val="00415BCF"/>
    <w:rsid w:val="00417BE1"/>
    <w:rsid w:val="00434754"/>
    <w:rsid w:val="00434CCD"/>
    <w:rsid w:val="00443969"/>
    <w:rsid w:val="00445A51"/>
    <w:rsid w:val="00457AD2"/>
    <w:rsid w:val="0046337A"/>
    <w:rsid w:val="00464BDE"/>
    <w:rsid w:val="004705B4"/>
    <w:rsid w:val="00474589"/>
    <w:rsid w:val="004820FA"/>
    <w:rsid w:val="00492F80"/>
    <w:rsid w:val="00494D1F"/>
    <w:rsid w:val="004A150D"/>
    <w:rsid w:val="004B37F6"/>
    <w:rsid w:val="004B5AB3"/>
    <w:rsid w:val="004D40AE"/>
    <w:rsid w:val="004E21FB"/>
    <w:rsid w:val="004E4153"/>
    <w:rsid w:val="004E4B4C"/>
    <w:rsid w:val="004E5458"/>
    <w:rsid w:val="004E7402"/>
    <w:rsid w:val="00503693"/>
    <w:rsid w:val="005126A7"/>
    <w:rsid w:val="00517338"/>
    <w:rsid w:val="0051771D"/>
    <w:rsid w:val="0052268F"/>
    <w:rsid w:val="0053191B"/>
    <w:rsid w:val="00544F38"/>
    <w:rsid w:val="00551347"/>
    <w:rsid w:val="005553E4"/>
    <w:rsid w:val="00563778"/>
    <w:rsid w:val="00565E06"/>
    <w:rsid w:val="005808B7"/>
    <w:rsid w:val="00582BAC"/>
    <w:rsid w:val="005836D1"/>
    <w:rsid w:val="00583940"/>
    <w:rsid w:val="00585823"/>
    <w:rsid w:val="00597E4B"/>
    <w:rsid w:val="005B0FE9"/>
    <w:rsid w:val="005B298C"/>
    <w:rsid w:val="005D1752"/>
    <w:rsid w:val="005D4B03"/>
    <w:rsid w:val="005D7758"/>
    <w:rsid w:val="005E19FC"/>
    <w:rsid w:val="006011CF"/>
    <w:rsid w:val="00605D48"/>
    <w:rsid w:val="006061E3"/>
    <w:rsid w:val="00610304"/>
    <w:rsid w:val="0061556A"/>
    <w:rsid w:val="006375B4"/>
    <w:rsid w:val="006407B2"/>
    <w:rsid w:val="0065511A"/>
    <w:rsid w:val="00670D2C"/>
    <w:rsid w:val="00675391"/>
    <w:rsid w:val="0067683F"/>
    <w:rsid w:val="0068174E"/>
    <w:rsid w:val="00682E3F"/>
    <w:rsid w:val="0069033A"/>
    <w:rsid w:val="00693FD0"/>
    <w:rsid w:val="00695372"/>
    <w:rsid w:val="006B6AA2"/>
    <w:rsid w:val="006B7F08"/>
    <w:rsid w:val="006C2999"/>
    <w:rsid w:val="006C2B2C"/>
    <w:rsid w:val="006D0600"/>
    <w:rsid w:val="006D0958"/>
    <w:rsid w:val="006D64A4"/>
    <w:rsid w:val="006E13B0"/>
    <w:rsid w:val="006E5EBA"/>
    <w:rsid w:val="006E5F66"/>
    <w:rsid w:val="006E62EE"/>
    <w:rsid w:val="006F76E9"/>
    <w:rsid w:val="007002DB"/>
    <w:rsid w:val="00703795"/>
    <w:rsid w:val="00707EDE"/>
    <w:rsid w:val="007101BE"/>
    <w:rsid w:val="00711CD3"/>
    <w:rsid w:val="007126E4"/>
    <w:rsid w:val="00713A19"/>
    <w:rsid w:val="00720E79"/>
    <w:rsid w:val="00724E34"/>
    <w:rsid w:val="00727E28"/>
    <w:rsid w:val="007314A5"/>
    <w:rsid w:val="00742B35"/>
    <w:rsid w:val="00747562"/>
    <w:rsid w:val="00762641"/>
    <w:rsid w:val="00762CBF"/>
    <w:rsid w:val="00764DDE"/>
    <w:rsid w:val="00767FF8"/>
    <w:rsid w:val="00770F55"/>
    <w:rsid w:val="00772290"/>
    <w:rsid w:val="00776D67"/>
    <w:rsid w:val="00776FA1"/>
    <w:rsid w:val="00781851"/>
    <w:rsid w:val="00784573"/>
    <w:rsid w:val="00784B6E"/>
    <w:rsid w:val="00787352"/>
    <w:rsid w:val="007A08DB"/>
    <w:rsid w:val="007A2B52"/>
    <w:rsid w:val="007A5519"/>
    <w:rsid w:val="007B5652"/>
    <w:rsid w:val="007C2833"/>
    <w:rsid w:val="007C632B"/>
    <w:rsid w:val="007C674C"/>
    <w:rsid w:val="007D7B81"/>
    <w:rsid w:val="007E2CC6"/>
    <w:rsid w:val="007F27C0"/>
    <w:rsid w:val="007F5249"/>
    <w:rsid w:val="007F629A"/>
    <w:rsid w:val="007F7CEB"/>
    <w:rsid w:val="0082397C"/>
    <w:rsid w:val="00834FE8"/>
    <w:rsid w:val="0084656B"/>
    <w:rsid w:val="008468AC"/>
    <w:rsid w:val="00853681"/>
    <w:rsid w:val="00857382"/>
    <w:rsid w:val="008718BE"/>
    <w:rsid w:val="00885A8C"/>
    <w:rsid w:val="00892EC9"/>
    <w:rsid w:val="0089418F"/>
    <w:rsid w:val="008A2A79"/>
    <w:rsid w:val="008A4942"/>
    <w:rsid w:val="008A523F"/>
    <w:rsid w:val="008A65F3"/>
    <w:rsid w:val="008A778E"/>
    <w:rsid w:val="008B46DC"/>
    <w:rsid w:val="008C49DE"/>
    <w:rsid w:val="008E08C1"/>
    <w:rsid w:val="008E3FD6"/>
    <w:rsid w:val="008E5A08"/>
    <w:rsid w:val="008F458C"/>
    <w:rsid w:val="008F64FF"/>
    <w:rsid w:val="009108BE"/>
    <w:rsid w:val="0091391D"/>
    <w:rsid w:val="009151EE"/>
    <w:rsid w:val="009164AA"/>
    <w:rsid w:val="009228C6"/>
    <w:rsid w:val="00923B5A"/>
    <w:rsid w:val="009431AF"/>
    <w:rsid w:val="00946085"/>
    <w:rsid w:val="0095144E"/>
    <w:rsid w:val="00955AB5"/>
    <w:rsid w:val="00956744"/>
    <w:rsid w:val="00957049"/>
    <w:rsid w:val="009637C2"/>
    <w:rsid w:val="00972703"/>
    <w:rsid w:val="00974C39"/>
    <w:rsid w:val="00976D51"/>
    <w:rsid w:val="00977F4A"/>
    <w:rsid w:val="009911CF"/>
    <w:rsid w:val="00995413"/>
    <w:rsid w:val="009B0C40"/>
    <w:rsid w:val="009B4AE6"/>
    <w:rsid w:val="009C3C8B"/>
    <w:rsid w:val="009C7529"/>
    <w:rsid w:val="009D0626"/>
    <w:rsid w:val="009D11AF"/>
    <w:rsid w:val="009D4579"/>
    <w:rsid w:val="009D560E"/>
    <w:rsid w:val="009D579C"/>
    <w:rsid w:val="009E2AB0"/>
    <w:rsid w:val="009E46EB"/>
    <w:rsid w:val="009F26BA"/>
    <w:rsid w:val="00A02972"/>
    <w:rsid w:val="00A0618B"/>
    <w:rsid w:val="00A07632"/>
    <w:rsid w:val="00A17021"/>
    <w:rsid w:val="00A244D0"/>
    <w:rsid w:val="00A24D00"/>
    <w:rsid w:val="00A35880"/>
    <w:rsid w:val="00A40BB8"/>
    <w:rsid w:val="00A45E96"/>
    <w:rsid w:val="00A759B4"/>
    <w:rsid w:val="00A833D8"/>
    <w:rsid w:val="00A85473"/>
    <w:rsid w:val="00A97F02"/>
    <w:rsid w:val="00AB00E9"/>
    <w:rsid w:val="00AB31FE"/>
    <w:rsid w:val="00AB47D4"/>
    <w:rsid w:val="00AB4B87"/>
    <w:rsid w:val="00AC267F"/>
    <w:rsid w:val="00AC379C"/>
    <w:rsid w:val="00AC42FE"/>
    <w:rsid w:val="00AD0D77"/>
    <w:rsid w:val="00AD1F05"/>
    <w:rsid w:val="00AE352B"/>
    <w:rsid w:val="00AE4074"/>
    <w:rsid w:val="00AE4F5C"/>
    <w:rsid w:val="00AF598B"/>
    <w:rsid w:val="00AF620F"/>
    <w:rsid w:val="00B12F4F"/>
    <w:rsid w:val="00B437EE"/>
    <w:rsid w:val="00B45654"/>
    <w:rsid w:val="00B50139"/>
    <w:rsid w:val="00B504E8"/>
    <w:rsid w:val="00B51EBF"/>
    <w:rsid w:val="00B5384C"/>
    <w:rsid w:val="00B55221"/>
    <w:rsid w:val="00B610B2"/>
    <w:rsid w:val="00B667A6"/>
    <w:rsid w:val="00B70CEB"/>
    <w:rsid w:val="00B735BC"/>
    <w:rsid w:val="00B7444C"/>
    <w:rsid w:val="00B75926"/>
    <w:rsid w:val="00B761EF"/>
    <w:rsid w:val="00B8628F"/>
    <w:rsid w:val="00B86A41"/>
    <w:rsid w:val="00B87DFA"/>
    <w:rsid w:val="00B93061"/>
    <w:rsid w:val="00B93DEF"/>
    <w:rsid w:val="00B9440E"/>
    <w:rsid w:val="00BA02D7"/>
    <w:rsid w:val="00BA0BAD"/>
    <w:rsid w:val="00BA76E1"/>
    <w:rsid w:val="00BC06E0"/>
    <w:rsid w:val="00BC204B"/>
    <w:rsid w:val="00BC3B4A"/>
    <w:rsid w:val="00BC4F2C"/>
    <w:rsid w:val="00BE76D9"/>
    <w:rsid w:val="00C176F5"/>
    <w:rsid w:val="00C17F29"/>
    <w:rsid w:val="00C24FAF"/>
    <w:rsid w:val="00C2706A"/>
    <w:rsid w:val="00C37980"/>
    <w:rsid w:val="00C569D9"/>
    <w:rsid w:val="00C5766F"/>
    <w:rsid w:val="00C63D64"/>
    <w:rsid w:val="00CB1B05"/>
    <w:rsid w:val="00CB1DC1"/>
    <w:rsid w:val="00CC36DA"/>
    <w:rsid w:val="00CC4C22"/>
    <w:rsid w:val="00CC5EBF"/>
    <w:rsid w:val="00CD093E"/>
    <w:rsid w:val="00CE7E81"/>
    <w:rsid w:val="00CF5050"/>
    <w:rsid w:val="00CF69FF"/>
    <w:rsid w:val="00D10F47"/>
    <w:rsid w:val="00D12DE5"/>
    <w:rsid w:val="00D16672"/>
    <w:rsid w:val="00D27183"/>
    <w:rsid w:val="00D27858"/>
    <w:rsid w:val="00D507EF"/>
    <w:rsid w:val="00D5393A"/>
    <w:rsid w:val="00D63C7D"/>
    <w:rsid w:val="00D70A20"/>
    <w:rsid w:val="00D77DBF"/>
    <w:rsid w:val="00D90D6F"/>
    <w:rsid w:val="00DA13C9"/>
    <w:rsid w:val="00DA2C59"/>
    <w:rsid w:val="00DB4833"/>
    <w:rsid w:val="00DB55E4"/>
    <w:rsid w:val="00DC2BE4"/>
    <w:rsid w:val="00DC53BA"/>
    <w:rsid w:val="00DD23A8"/>
    <w:rsid w:val="00DD3CCD"/>
    <w:rsid w:val="00DD6B13"/>
    <w:rsid w:val="00DE31A5"/>
    <w:rsid w:val="00DE5C62"/>
    <w:rsid w:val="00DF2BD4"/>
    <w:rsid w:val="00E11F4B"/>
    <w:rsid w:val="00E5453D"/>
    <w:rsid w:val="00E57F35"/>
    <w:rsid w:val="00E6526F"/>
    <w:rsid w:val="00E73C2A"/>
    <w:rsid w:val="00E73CC0"/>
    <w:rsid w:val="00E7790F"/>
    <w:rsid w:val="00E824D3"/>
    <w:rsid w:val="00E8252D"/>
    <w:rsid w:val="00EC41E1"/>
    <w:rsid w:val="00EC6D7B"/>
    <w:rsid w:val="00ED09F8"/>
    <w:rsid w:val="00ED2A7D"/>
    <w:rsid w:val="00ED6C4C"/>
    <w:rsid w:val="00EE1CDF"/>
    <w:rsid w:val="00F11717"/>
    <w:rsid w:val="00F11CC8"/>
    <w:rsid w:val="00F15847"/>
    <w:rsid w:val="00F25820"/>
    <w:rsid w:val="00F31BC1"/>
    <w:rsid w:val="00F35FC2"/>
    <w:rsid w:val="00F4151C"/>
    <w:rsid w:val="00F427F8"/>
    <w:rsid w:val="00F46E03"/>
    <w:rsid w:val="00F76B65"/>
    <w:rsid w:val="00F809F9"/>
    <w:rsid w:val="00F94950"/>
    <w:rsid w:val="00FB4902"/>
    <w:rsid w:val="00FB5B4A"/>
    <w:rsid w:val="00FC7CDF"/>
    <w:rsid w:val="00FD507A"/>
    <w:rsid w:val="00FE7A6B"/>
    <w:rsid w:val="00FF3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24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C75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90D6F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C752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D32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D3246"/>
    <w:pPr>
      <w:tabs>
        <w:tab w:val="center" w:pos="4320"/>
        <w:tab w:val="right" w:pos="8640"/>
      </w:tabs>
    </w:pPr>
  </w:style>
  <w:style w:type="paragraph" w:customStyle="1" w:styleId="Tabletext">
    <w:name w:val="Table text"/>
    <w:basedOn w:val="Normal"/>
    <w:link w:val="TabletextChar"/>
    <w:uiPriority w:val="99"/>
    <w:rsid w:val="000D3246"/>
    <w:pPr>
      <w:spacing w:before="120" w:after="120" w:line="260" w:lineRule="atLeast"/>
    </w:pPr>
    <w:rPr>
      <w:noProof/>
      <w:sz w:val="22"/>
      <w:szCs w:val="22"/>
    </w:rPr>
  </w:style>
  <w:style w:type="paragraph" w:customStyle="1" w:styleId="Client">
    <w:name w:val="Client"/>
    <w:basedOn w:val="Normal"/>
    <w:rsid w:val="007E2CC6"/>
    <w:pPr>
      <w:spacing w:before="60" w:after="60" w:line="260" w:lineRule="atLeast"/>
    </w:pPr>
    <w:rPr>
      <w:sz w:val="22"/>
      <w:szCs w:val="20"/>
      <w:lang w:val="en-GB"/>
    </w:rPr>
  </w:style>
  <w:style w:type="paragraph" w:customStyle="1" w:styleId="Datecreated">
    <w:name w:val="Date created"/>
    <w:basedOn w:val="Normal"/>
    <w:rsid w:val="007E2CC6"/>
    <w:pPr>
      <w:spacing w:before="60" w:after="60" w:line="260" w:lineRule="atLeast"/>
    </w:pPr>
    <w:rPr>
      <w:sz w:val="22"/>
      <w:szCs w:val="20"/>
      <w:lang w:val="en-GB"/>
    </w:rPr>
  </w:style>
  <w:style w:type="paragraph" w:customStyle="1" w:styleId="Documentname">
    <w:name w:val="Document name"/>
    <w:next w:val="Normal"/>
    <w:rsid w:val="007E2CC6"/>
    <w:pPr>
      <w:widowControl w:val="0"/>
      <w:spacing w:before="120"/>
      <w:jc w:val="right"/>
    </w:pPr>
    <w:rPr>
      <w:rFonts w:ascii="Arial" w:hAnsi="Arial"/>
      <w:noProof/>
      <w:sz w:val="24"/>
    </w:rPr>
  </w:style>
  <w:style w:type="paragraph" w:customStyle="1" w:styleId="KPMGLargelogo">
    <w:name w:val="KPMG Large logo"/>
    <w:rsid w:val="007E2CC6"/>
    <w:pPr>
      <w:jc w:val="both"/>
    </w:pPr>
    <w:rPr>
      <w:rFonts w:ascii="KPMG Logo" w:hAnsi="KPMG Logo"/>
      <w:sz w:val="44"/>
      <w:lang w:val="en-GB"/>
    </w:rPr>
  </w:style>
  <w:style w:type="paragraph" w:customStyle="1" w:styleId="Periodend">
    <w:name w:val="Period end"/>
    <w:basedOn w:val="Normal"/>
    <w:rsid w:val="007E2CC6"/>
    <w:pPr>
      <w:spacing w:before="60" w:after="60" w:line="260" w:lineRule="atLeast"/>
    </w:pPr>
    <w:rPr>
      <w:sz w:val="22"/>
      <w:szCs w:val="20"/>
      <w:lang w:val="en-GB"/>
    </w:rPr>
  </w:style>
  <w:style w:type="paragraph" w:customStyle="1" w:styleId="Preparedby">
    <w:name w:val="Prepared by"/>
    <w:basedOn w:val="Normal"/>
    <w:rsid w:val="007E2CC6"/>
    <w:pPr>
      <w:spacing w:before="60" w:after="60" w:line="260" w:lineRule="atLeast"/>
    </w:pPr>
    <w:rPr>
      <w:snapToGrid w:val="0"/>
      <w:sz w:val="22"/>
      <w:szCs w:val="20"/>
      <w:lang w:val="en-GB"/>
    </w:rPr>
  </w:style>
  <w:style w:type="paragraph" w:customStyle="1" w:styleId="Smalltableheading">
    <w:name w:val="Small table heading"/>
    <w:next w:val="Normal"/>
    <w:rsid w:val="007E2CC6"/>
    <w:pPr>
      <w:keepNext/>
      <w:spacing w:before="60"/>
    </w:pPr>
    <w:rPr>
      <w:b/>
      <w:noProof/>
      <w:sz w:val="18"/>
    </w:rPr>
  </w:style>
  <w:style w:type="paragraph" w:customStyle="1" w:styleId="WPreference">
    <w:name w:val="WP reference"/>
    <w:basedOn w:val="Normal"/>
    <w:rsid w:val="007E2CC6"/>
    <w:pPr>
      <w:spacing w:before="60" w:after="60" w:line="260" w:lineRule="atLeast"/>
    </w:pPr>
    <w:rPr>
      <w:sz w:val="22"/>
      <w:szCs w:val="20"/>
      <w:lang w:val="en-GB"/>
    </w:rPr>
  </w:style>
  <w:style w:type="paragraph" w:styleId="DocumentMap">
    <w:name w:val="Document Map"/>
    <w:basedOn w:val="Normal"/>
    <w:semiHidden/>
    <w:rsid w:val="005D4B0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">
    <w:name w:val="Body Text"/>
    <w:aliases w:val="bt,Body"/>
    <w:basedOn w:val="Normal"/>
    <w:link w:val="BodyTextChar"/>
    <w:rsid w:val="00B8628F"/>
    <w:pPr>
      <w:spacing w:before="120" w:after="120" w:line="276" w:lineRule="auto"/>
    </w:pPr>
    <w:rPr>
      <w:rFonts w:ascii="Calibri" w:hAnsi="Calibri"/>
      <w:sz w:val="20"/>
      <w:szCs w:val="20"/>
      <w:lang w:bidi="en-US"/>
    </w:rPr>
  </w:style>
  <w:style w:type="character" w:customStyle="1" w:styleId="BodyTextChar">
    <w:name w:val="Body Text Char"/>
    <w:aliases w:val="bt Char,Body Char"/>
    <w:link w:val="BodyText"/>
    <w:rsid w:val="00B8628F"/>
    <w:rPr>
      <w:rFonts w:ascii="Calibri" w:hAnsi="Calibri"/>
      <w:lang w:bidi="en-US"/>
    </w:rPr>
  </w:style>
  <w:style w:type="table" w:styleId="TableGrid">
    <w:name w:val="Table Grid"/>
    <w:basedOn w:val="TableNormal"/>
    <w:rsid w:val="003577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ink w:val="Heading2"/>
    <w:rsid w:val="00D90D6F"/>
    <w:rPr>
      <w:b/>
      <w:bCs/>
      <w:sz w:val="24"/>
      <w:szCs w:val="24"/>
      <w:lang w:val="en-US" w:eastAsia="en-US"/>
    </w:rPr>
  </w:style>
  <w:style w:type="character" w:customStyle="1" w:styleId="TabletextChar">
    <w:name w:val="Table text Char"/>
    <w:link w:val="Tabletext"/>
    <w:uiPriority w:val="99"/>
    <w:locked/>
    <w:rsid w:val="00295BFF"/>
    <w:rPr>
      <w:noProof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9C7529"/>
    <w:pPr>
      <w:ind w:left="720"/>
    </w:pPr>
  </w:style>
  <w:style w:type="character" w:customStyle="1" w:styleId="Heading1Char">
    <w:name w:val="Heading 1 Char"/>
    <w:link w:val="Heading1"/>
    <w:rsid w:val="009C752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3Char">
    <w:name w:val="Heading 3 Char"/>
    <w:link w:val="Heading3"/>
    <w:semiHidden/>
    <w:rsid w:val="009C7529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FootnoteText">
    <w:name w:val="footnote text"/>
    <w:basedOn w:val="Normal"/>
    <w:link w:val="FootnoteTextChar"/>
    <w:rsid w:val="00EC6D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C6D7B"/>
  </w:style>
  <w:style w:type="character" w:styleId="FootnoteReference">
    <w:name w:val="footnote reference"/>
    <w:rsid w:val="00EC6D7B"/>
    <w:rPr>
      <w:vertAlign w:val="superscript"/>
    </w:rPr>
  </w:style>
  <w:style w:type="character" w:styleId="Emphasis">
    <w:name w:val="Emphasis"/>
    <w:basedOn w:val="DefaultParagraphFont"/>
    <w:qFormat/>
    <w:rsid w:val="006375B4"/>
    <w:rPr>
      <w:i/>
      <w:iCs/>
    </w:rPr>
  </w:style>
  <w:style w:type="paragraph" w:styleId="BalloonText">
    <w:name w:val="Balloon Text"/>
    <w:basedOn w:val="Normal"/>
    <w:link w:val="BalloonTextChar"/>
    <w:rsid w:val="004D4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40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7A25A-70EE-4B2E-9653-0F68DFA6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Minutes</vt:lpstr>
    </vt:vector>
  </TitlesOfParts>
  <Company>BRAC Bank Ltd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subject/>
  <dc:creator>audit</dc:creator>
  <cp:keywords/>
  <cp:lastModifiedBy>World</cp:lastModifiedBy>
  <cp:revision>3</cp:revision>
  <dcterms:created xsi:type="dcterms:W3CDTF">2022-05-11T07:58:00Z</dcterms:created>
  <dcterms:modified xsi:type="dcterms:W3CDTF">2024-09-28T10:36:00Z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ngagementID">
    <vt:lpwstr>cb399c52-21a9-4b9b-b1b1-bba30a72d37c</vt:lpwstr>
  </property>
  <property fmtid="{D5CDD505-2E9C-101B-9397-08002B2CF9AE}" pid="3" name="LibraryID">
    <vt:lpwstr>Audit Files</vt:lpwstr>
  </property>
  <property fmtid="{D5CDD505-2E9C-101B-9397-08002B2CF9AE}" pid="4" name="DocumentID">
    <vt:lpwstr>32B494A3-6F80-4FE8-9DE9-C989236EE502</vt:lpwstr>
  </property>
  <property fmtid="{D5CDD505-2E9C-101B-9397-08002B2CF9AE}" pid="5" name="ComponentID">
    <vt:lpwstr>3CF83D37-2535-4BA4-9939-170EFF839E87</vt:lpwstr>
  </property>
  <property fmtid="{D5CDD505-2E9C-101B-9397-08002B2CF9AE}" pid="6" name="ComponentName">
    <vt:lpwstr>Godrej Household Products (BD) Pvt. Ltd. 31 March 2020</vt:lpwstr>
  </property>
  <property fmtid="{D5CDD505-2E9C-101B-9397-08002B2CF9AE}" pid="7" name="Locale">
    <vt:lpwstr>en</vt:lpwstr>
  </property>
  <property fmtid="{D5CDD505-2E9C-101B-9397-08002B2CF9AE}" pid="8" name="FilePath">
    <vt:lpwstr>C:\ProgramData\eAudIT\DM\cb399c52-21a9-4b9b-b1b1-bba30a72d37c\ReadOnlyDocs\\2.14.1.0010RAPD Agenda International.docx</vt:lpwstr>
  </property>
  <property fmtid="{D5CDD505-2E9C-101B-9397-08002B2CF9AE}" pid="9" name="SiteType">
    <vt:lpwstr>Engagement2018</vt:lpwstr>
  </property>
  <property fmtid="{D5CDD505-2E9C-101B-9397-08002B2CF9AE}" pid="10" name="ResourceDBName">
    <vt:lpwstr>eAudITAppDB2019_FSAV1</vt:lpwstr>
  </property>
  <property fmtid="{D5CDD505-2E9C-101B-9397-08002B2CF9AE}" pid="11" name="Product">
    <vt:lpwstr>eAudIT2018</vt:lpwstr>
  </property>
  <property fmtid="{D5CDD505-2E9C-101B-9397-08002B2CF9AE}" pid="12" name="Version">
    <vt:lpwstr>V1</vt:lpwstr>
  </property>
  <property fmtid="{D5CDD505-2E9C-101B-9397-08002B2CF9AE}" pid="13" name="IsMembershipServiceImplemented">
    <vt:lpwstr>False</vt:lpwstr>
  </property>
  <property fmtid="{D5CDD505-2E9C-101B-9397-08002B2CF9AE}" pid="14" name="OnLine">
    <vt:lpwstr>False</vt:lpwstr>
  </property>
  <property fmtid="{D5CDD505-2E9C-101B-9397-08002B2CF9AE}" pid="15" name="SiteSource">
    <vt:lpwstr>Workgroup</vt:lpwstr>
  </property>
  <property fmtid="{D5CDD505-2E9C-101B-9397-08002B2CF9AE}" pid="16" name="RestrictedRibbons">
    <vt:lpwstr>AI-T|CT-T</vt:lpwstr>
  </property>
</Properties>
</file>