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DF6394" w:rsidRDefault="004D213E" w:rsidP="0066714E">
      <w:pPr>
        <w:rPr>
          <w:rFonts w:ascii="Arial" w:hAnsi="Arial" w:cs="Arial"/>
          <w:sz w:val="20"/>
          <w:szCs w:val="20"/>
        </w:rPr>
      </w:pPr>
      <w:bookmarkStart w:id="0" w:name="_GoBack"/>
      <w:bookmarkEnd w:id="0"/>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DF6394"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DF6394" w:rsidRDefault="008548B5" w:rsidP="009378E7">
            <w:pPr>
              <w:rPr>
                <w:rFonts w:ascii="Arial" w:hAnsi="Arial" w:cs="Arial"/>
                <w:sz w:val="20"/>
                <w:szCs w:val="20"/>
              </w:rPr>
            </w:pPr>
            <w:r>
              <w:rPr>
                <w:rFonts w:ascii="Arial" w:hAnsi="Arial" w:cs="Arial"/>
                <w:sz w:val="20"/>
                <w:szCs w:val="20"/>
              </w:rPr>
              <w:t>XYZ</w:t>
            </w:r>
            <w:r w:rsidR="009378E7"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9378E7" w:rsidP="00675AF3">
            <w:pPr>
              <w:rPr>
                <w:rFonts w:ascii="Arial" w:hAnsi="Arial" w:cs="Arial"/>
                <w:b/>
                <w:bCs/>
                <w:sz w:val="20"/>
                <w:szCs w:val="20"/>
              </w:rPr>
            </w:pPr>
            <w:r w:rsidRPr="00DF6394">
              <w:rPr>
                <w:rFonts w:ascii="Arial" w:hAnsi="Arial" w:cs="Arial"/>
                <w:b/>
                <w:bCs/>
                <w:sz w:val="20"/>
                <w:szCs w:val="20"/>
              </w:rPr>
              <w:t> </w:t>
            </w:r>
            <w:r w:rsidR="00F85D42">
              <w:rPr>
                <w:rFonts w:ascii="Arial" w:hAnsi="Arial" w:cs="Arial"/>
                <w:b/>
                <w:bCs/>
                <w:sz w:val="20"/>
                <w:szCs w:val="20"/>
              </w:rPr>
              <w:t>I-</w:t>
            </w:r>
            <w:r w:rsidR="009D2806">
              <w:rPr>
                <w:rFonts w:ascii="Arial" w:hAnsi="Arial" w:cs="Arial"/>
                <w:b/>
                <w:bCs/>
                <w:sz w:val="20"/>
                <w:szCs w:val="20"/>
              </w:rPr>
              <w:t>2</w:t>
            </w:r>
            <w:r w:rsidR="00F85D42">
              <w:rPr>
                <w:rFonts w:ascii="Arial" w:hAnsi="Arial" w:cs="Arial"/>
                <w:b/>
                <w:bCs/>
                <w:sz w:val="20"/>
                <w:szCs w:val="20"/>
              </w:rPr>
              <w:t>.1</w:t>
            </w:r>
          </w:p>
        </w:tc>
      </w:tr>
      <w:tr w:rsidR="009378E7"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DF6394" w:rsidRDefault="009378E7" w:rsidP="00835CB2">
            <w:pPr>
              <w:rPr>
                <w:rFonts w:ascii="Arial" w:hAnsi="Arial" w:cs="Arial"/>
                <w:sz w:val="20"/>
                <w:szCs w:val="20"/>
              </w:rPr>
            </w:pPr>
            <w:r w:rsidRPr="00DF6394">
              <w:rPr>
                <w:rFonts w:ascii="Arial" w:hAnsi="Arial" w:cs="Arial"/>
                <w:sz w:val="20"/>
                <w:szCs w:val="20"/>
              </w:rPr>
              <w:t xml:space="preserve">Mr. </w:t>
            </w:r>
            <w:r w:rsidR="00835CB2" w:rsidRPr="00DF6394">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DF6394" w:rsidRDefault="00AA6475" w:rsidP="00835CB2">
            <w:pPr>
              <w:jc w:val="center"/>
              <w:rPr>
                <w:rFonts w:ascii="Arial" w:hAnsi="Arial" w:cs="Arial"/>
                <w:sz w:val="20"/>
                <w:szCs w:val="20"/>
              </w:rPr>
            </w:pPr>
            <w:ins w:id="1" w:author="Md Faruk Hossain" w:date="2019-08-19T11:12:00Z">
              <w:r>
                <w:rPr>
                  <w:rFonts w:ascii="Arial" w:hAnsi="Arial" w:cs="Arial"/>
                  <w:sz w:val="20"/>
                  <w:szCs w:val="20"/>
                </w:rPr>
                <w:t>DD/MM/YYYY</w:t>
              </w:r>
            </w:ins>
            <w:del w:id="2" w:author="Md Faruk Hossain" w:date="2019-08-19T11:12:00Z">
              <w:r w:rsidR="009378E7" w:rsidRPr="00DF6394" w:rsidDel="00AA6475">
                <w:rPr>
                  <w:rFonts w:ascii="Arial" w:hAnsi="Arial" w:cs="Arial"/>
                  <w:sz w:val="20"/>
                  <w:szCs w:val="20"/>
                </w:rPr>
                <w:delText>2-</w:delText>
              </w:r>
              <w:r w:rsidR="00835CB2" w:rsidRPr="00DF6394" w:rsidDel="00AA6475">
                <w:rPr>
                  <w:rFonts w:ascii="Arial" w:hAnsi="Arial" w:cs="Arial"/>
                  <w:sz w:val="20"/>
                  <w:szCs w:val="20"/>
                </w:rPr>
                <w:delText>M</w:delText>
              </w:r>
            </w:del>
            <w:del w:id="3" w:author="Md Faruk Hossain" w:date="2019-08-19T11:11:00Z">
              <w:r w:rsidR="00835CB2" w:rsidRPr="00DF6394" w:rsidDel="00AA6475">
                <w:rPr>
                  <w:rFonts w:ascii="Arial" w:hAnsi="Arial" w:cs="Arial"/>
                  <w:sz w:val="20"/>
                  <w:szCs w:val="20"/>
                </w:rPr>
                <w:delText>ar</w:delText>
              </w:r>
              <w:r w:rsidR="00956CC8" w:rsidDel="00AA6475">
                <w:rPr>
                  <w:rFonts w:ascii="Arial" w:hAnsi="Arial" w:cs="Arial"/>
                  <w:sz w:val="20"/>
                  <w:szCs w:val="20"/>
                </w:rPr>
                <w:delText>-2015</w:delText>
              </w:r>
            </w:del>
          </w:p>
        </w:tc>
      </w:tr>
      <w:tr w:rsidR="00835CB2"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DF6394" w:rsidRDefault="00835CB2" w:rsidP="00835CB2">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DF6394"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DF6394" w:rsidRDefault="00835CB2" w:rsidP="00835CB2">
            <w:pPr>
              <w:rPr>
                <w:rFonts w:ascii="Arial" w:hAnsi="Arial" w:cs="Arial"/>
                <w:b/>
                <w:bCs/>
                <w:sz w:val="20"/>
                <w:szCs w:val="20"/>
              </w:rPr>
            </w:pPr>
            <w:r w:rsidRPr="00DF6394">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DF6394" w:rsidRDefault="00AA6475" w:rsidP="00835CB2">
            <w:pPr>
              <w:jc w:val="center"/>
              <w:rPr>
                <w:rFonts w:ascii="Arial" w:hAnsi="Arial" w:cs="Arial"/>
                <w:sz w:val="20"/>
                <w:szCs w:val="20"/>
              </w:rPr>
            </w:pPr>
            <w:ins w:id="4" w:author="Md Faruk Hossain" w:date="2019-08-19T11:12:00Z">
              <w:r>
                <w:rPr>
                  <w:rFonts w:ascii="Arial" w:hAnsi="Arial" w:cs="Arial"/>
                  <w:sz w:val="20"/>
                  <w:szCs w:val="20"/>
                </w:rPr>
                <w:t>DD/MM/YYYY</w:t>
              </w:r>
            </w:ins>
            <w:del w:id="5" w:author="Md Faruk Hossain" w:date="2019-08-19T11:12:00Z">
              <w:r w:rsidR="00956CC8" w:rsidDel="00AA6475">
                <w:rPr>
                  <w:rFonts w:ascii="Arial" w:hAnsi="Arial" w:cs="Arial"/>
                  <w:sz w:val="20"/>
                  <w:szCs w:val="20"/>
                </w:rPr>
                <w:delText>3-Mar-2015</w:delText>
              </w:r>
            </w:del>
          </w:p>
        </w:tc>
      </w:tr>
      <w:tr w:rsidR="009378E7" w:rsidRPr="00DF6394"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DF6394" w:rsidRDefault="009378E7" w:rsidP="009378E7">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DF6394" w:rsidRDefault="009378E7" w:rsidP="009378E7">
            <w:pPr>
              <w:rPr>
                <w:rFonts w:ascii="Arial" w:hAnsi="Arial" w:cs="Arial"/>
                <w:sz w:val="20"/>
                <w:szCs w:val="20"/>
              </w:rPr>
            </w:pPr>
            <w:r w:rsidRPr="00DF6394">
              <w:rPr>
                <w:rFonts w:ascii="Arial" w:hAnsi="Arial" w:cs="Arial"/>
                <w:sz w:val="20"/>
                <w:szCs w:val="20"/>
              </w:rPr>
              <w:t>31-Dec-201</w:t>
            </w:r>
            <w:r w:rsidR="00675AF3">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DF6394" w:rsidRDefault="009378E7" w:rsidP="009378E7">
            <w:pPr>
              <w:rPr>
                <w:rFonts w:ascii="Arial" w:hAnsi="Arial" w:cs="Arial"/>
                <w:sz w:val="20"/>
                <w:szCs w:val="20"/>
              </w:rPr>
            </w:pPr>
          </w:p>
        </w:tc>
      </w:tr>
    </w:tbl>
    <w:p w:rsidR="008D6831" w:rsidRDefault="008D6831">
      <w:pPr>
        <w:rPr>
          <w:rFonts w:ascii="Arial" w:hAnsi="Arial" w:cs="Arial"/>
          <w:sz w:val="20"/>
          <w:szCs w:val="20"/>
        </w:rPr>
      </w:pPr>
    </w:p>
    <w:p w:rsidR="00E86555" w:rsidRPr="00DF6394" w:rsidRDefault="00E86555">
      <w:pPr>
        <w:rPr>
          <w:rFonts w:ascii="Arial" w:hAnsi="Arial" w:cs="Arial"/>
          <w:sz w:val="20"/>
          <w:szCs w:val="20"/>
        </w:rPr>
      </w:pPr>
    </w:p>
    <w:tbl>
      <w:tblPr>
        <w:tblW w:w="17242" w:type="dxa"/>
        <w:tblInd w:w="-72" w:type="dxa"/>
        <w:tblLook w:val="04A0" w:firstRow="1" w:lastRow="0" w:firstColumn="1" w:lastColumn="0" w:noHBand="0" w:noVBand="1"/>
      </w:tblPr>
      <w:tblGrid>
        <w:gridCol w:w="14414"/>
        <w:gridCol w:w="1167"/>
        <w:gridCol w:w="222"/>
        <w:gridCol w:w="222"/>
        <w:gridCol w:w="222"/>
        <w:gridCol w:w="222"/>
        <w:gridCol w:w="1058"/>
        <w:gridCol w:w="236"/>
      </w:tblGrid>
      <w:tr w:rsidR="00505613" w:rsidRPr="00DF6394" w:rsidTr="00025F51">
        <w:trPr>
          <w:trHeight w:val="236"/>
        </w:trPr>
        <w:tc>
          <w:tcPr>
            <w:tcW w:w="13893" w:type="dxa"/>
            <w:tcBorders>
              <w:top w:val="nil"/>
              <w:left w:val="nil"/>
              <w:bottom w:val="nil"/>
              <w:right w:val="nil"/>
            </w:tcBorders>
            <w:shd w:val="clear" w:color="auto" w:fill="auto"/>
            <w:noWrap/>
            <w:hideMark/>
          </w:tcPr>
          <w:tbl>
            <w:tblPr>
              <w:tblW w:w="13500" w:type="dxa"/>
              <w:tblLook w:val="04A0" w:firstRow="1" w:lastRow="0" w:firstColumn="1" w:lastColumn="0" w:noHBand="0" w:noVBand="1"/>
            </w:tblPr>
            <w:tblGrid>
              <w:gridCol w:w="2690"/>
              <w:gridCol w:w="10810"/>
            </w:tblGrid>
            <w:tr w:rsidR="005570E2" w:rsidRPr="00247543" w:rsidTr="005570E2">
              <w:trPr>
                <w:trHeight w:val="332"/>
              </w:trPr>
              <w:tc>
                <w:tcPr>
                  <w:tcW w:w="2690"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E86555" w:rsidRPr="00247543" w:rsidRDefault="00E86555" w:rsidP="00E86555">
                  <w:pPr>
                    <w:jc w:val="both"/>
                    <w:rPr>
                      <w:rFonts w:ascii="Arial" w:hAnsi="Arial" w:cs="Arial"/>
                      <w:b/>
                      <w:bCs/>
                      <w:color w:val="000000"/>
                      <w:sz w:val="20"/>
                      <w:szCs w:val="20"/>
                    </w:rPr>
                  </w:pPr>
                  <w:r w:rsidRPr="00247543">
                    <w:rPr>
                      <w:rFonts w:ascii="Arial" w:hAnsi="Arial" w:cs="Arial"/>
                      <w:b/>
                      <w:bCs/>
                      <w:color w:val="000000"/>
                      <w:sz w:val="20"/>
                      <w:szCs w:val="20"/>
                    </w:rPr>
                    <w:t>Procedure Name:</w:t>
                  </w:r>
                </w:p>
              </w:tc>
              <w:tc>
                <w:tcPr>
                  <w:tcW w:w="10810" w:type="dxa"/>
                  <w:tcBorders>
                    <w:top w:val="single" w:sz="4" w:space="0" w:color="auto"/>
                    <w:left w:val="single" w:sz="4" w:space="0" w:color="auto"/>
                    <w:bottom w:val="single" w:sz="4" w:space="0" w:color="auto"/>
                    <w:right w:val="single" w:sz="4" w:space="0" w:color="auto"/>
                  </w:tcBorders>
                  <w:shd w:val="clear" w:color="auto" w:fill="auto"/>
                  <w:noWrap/>
                  <w:hideMark/>
                </w:tcPr>
                <w:p w:rsidR="00E86555" w:rsidRPr="00247543" w:rsidRDefault="00E86555" w:rsidP="00E86555">
                  <w:pPr>
                    <w:jc w:val="both"/>
                    <w:rPr>
                      <w:rFonts w:ascii="Arial" w:hAnsi="Arial" w:cs="Arial"/>
                      <w:color w:val="000000"/>
                      <w:sz w:val="20"/>
                      <w:szCs w:val="20"/>
                    </w:rPr>
                  </w:pPr>
                  <w:r w:rsidRPr="00247543">
                    <w:rPr>
                      <w:rFonts w:ascii="Arial" w:hAnsi="Arial" w:cs="Arial"/>
                      <w:color w:val="000000"/>
                      <w:sz w:val="20"/>
                      <w:szCs w:val="20"/>
                    </w:rPr>
                    <w:t>Comparison of current year and previous year balances</w:t>
                  </w:r>
                  <w:r w:rsidR="001B0608">
                    <w:rPr>
                      <w:rFonts w:ascii="Arial" w:hAnsi="Arial" w:cs="Arial"/>
                      <w:color w:val="000000"/>
                      <w:sz w:val="20"/>
                      <w:szCs w:val="20"/>
                    </w:rPr>
                    <w:t>,</w:t>
                  </w:r>
                  <w:r>
                    <w:rPr>
                      <w:rFonts w:ascii="Arial" w:hAnsi="Arial" w:cs="Arial"/>
                      <w:color w:val="000000"/>
                      <w:sz w:val="20"/>
                      <w:szCs w:val="20"/>
                    </w:rPr>
                    <w:t xml:space="preserve"> reconciliation with nominal ledger and justification of unusual journal entries.</w:t>
                  </w:r>
                </w:p>
              </w:tc>
            </w:tr>
          </w:tbl>
          <w:p w:rsidR="00505613" w:rsidRDefault="00505613" w:rsidP="00EF5259">
            <w:pPr>
              <w:spacing w:after="160" w:line="259" w:lineRule="auto"/>
              <w:rPr>
                <w:rFonts w:ascii="Arial" w:hAnsi="Arial" w:cs="Arial"/>
                <w:color w:val="000000"/>
                <w:sz w:val="20"/>
                <w:szCs w:val="20"/>
              </w:rPr>
            </w:pPr>
          </w:p>
          <w:tbl>
            <w:tblPr>
              <w:tblStyle w:val="TableGrid"/>
              <w:tblW w:w="0" w:type="auto"/>
              <w:tblLook w:val="04A0" w:firstRow="1" w:lastRow="0" w:firstColumn="1" w:lastColumn="0" w:noHBand="0" w:noVBand="1"/>
            </w:tblPr>
            <w:tblGrid>
              <w:gridCol w:w="3361"/>
              <w:gridCol w:w="1496"/>
              <w:gridCol w:w="1481"/>
              <w:gridCol w:w="1440"/>
              <w:gridCol w:w="1473"/>
              <w:gridCol w:w="4049"/>
            </w:tblGrid>
            <w:tr w:rsidR="00400511" w:rsidRPr="00247543" w:rsidTr="00400511">
              <w:tc>
                <w:tcPr>
                  <w:tcW w:w="3361" w:type="dxa"/>
                </w:tcPr>
                <w:p w:rsidR="00400511" w:rsidRPr="00247543" w:rsidRDefault="00400511" w:rsidP="00D74A54">
                  <w:pPr>
                    <w:jc w:val="center"/>
                    <w:rPr>
                      <w:rFonts w:ascii="Arial" w:hAnsi="Arial" w:cs="Arial"/>
                      <w:b/>
                      <w:sz w:val="20"/>
                      <w:szCs w:val="20"/>
                    </w:rPr>
                  </w:pPr>
                  <w:r w:rsidRPr="00247543">
                    <w:rPr>
                      <w:rFonts w:ascii="Arial" w:hAnsi="Arial" w:cs="Arial"/>
                      <w:b/>
                      <w:sz w:val="20"/>
                      <w:szCs w:val="20"/>
                    </w:rPr>
                    <w:t>Particulars</w:t>
                  </w:r>
                </w:p>
              </w:tc>
              <w:tc>
                <w:tcPr>
                  <w:tcW w:w="1496" w:type="dxa"/>
                </w:tcPr>
                <w:p w:rsidR="00400511" w:rsidRPr="00247543" w:rsidRDefault="00400511" w:rsidP="00D74A54">
                  <w:pPr>
                    <w:jc w:val="center"/>
                    <w:rPr>
                      <w:rFonts w:ascii="Arial" w:hAnsi="Arial" w:cs="Arial"/>
                      <w:b/>
                      <w:sz w:val="20"/>
                      <w:szCs w:val="20"/>
                    </w:rPr>
                  </w:pPr>
                  <w:r>
                    <w:rPr>
                      <w:rFonts w:ascii="Arial" w:hAnsi="Arial" w:cs="Arial"/>
                      <w:b/>
                      <w:sz w:val="20"/>
                      <w:szCs w:val="20"/>
                    </w:rPr>
                    <w:t>2014</w:t>
                  </w:r>
                </w:p>
              </w:tc>
              <w:tc>
                <w:tcPr>
                  <w:tcW w:w="1481" w:type="dxa"/>
                </w:tcPr>
                <w:p w:rsidR="00400511" w:rsidRPr="00247543" w:rsidRDefault="00400511" w:rsidP="00D74A54">
                  <w:pPr>
                    <w:jc w:val="center"/>
                    <w:rPr>
                      <w:rFonts w:ascii="Arial" w:hAnsi="Arial" w:cs="Arial"/>
                      <w:b/>
                      <w:sz w:val="20"/>
                      <w:szCs w:val="20"/>
                    </w:rPr>
                  </w:pPr>
                  <w:r>
                    <w:rPr>
                      <w:rFonts w:ascii="Arial" w:hAnsi="Arial" w:cs="Arial"/>
                      <w:b/>
                      <w:sz w:val="20"/>
                      <w:szCs w:val="20"/>
                    </w:rPr>
                    <w:t>2013</w:t>
                  </w:r>
                </w:p>
              </w:tc>
              <w:tc>
                <w:tcPr>
                  <w:tcW w:w="1440" w:type="dxa"/>
                </w:tcPr>
                <w:p w:rsidR="00400511" w:rsidRPr="00247543" w:rsidRDefault="00400511" w:rsidP="00D74A54">
                  <w:pPr>
                    <w:jc w:val="center"/>
                    <w:rPr>
                      <w:rFonts w:ascii="Arial" w:hAnsi="Arial" w:cs="Arial"/>
                      <w:b/>
                      <w:sz w:val="20"/>
                      <w:szCs w:val="20"/>
                    </w:rPr>
                  </w:pPr>
                  <w:r w:rsidRPr="00247543">
                    <w:rPr>
                      <w:rFonts w:ascii="Arial" w:hAnsi="Arial" w:cs="Arial"/>
                      <w:b/>
                      <w:sz w:val="20"/>
                      <w:szCs w:val="20"/>
                    </w:rPr>
                    <w:t>Variance (BDT)</w:t>
                  </w:r>
                </w:p>
              </w:tc>
              <w:tc>
                <w:tcPr>
                  <w:tcW w:w="1473" w:type="dxa"/>
                </w:tcPr>
                <w:p w:rsidR="00400511" w:rsidRPr="00247543" w:rsidRDefault="00400511" w:rsidP="00D74A54">
                  <w:pPr>
                    <w:jc w:val="center"/>
                    <w:rPr>
                      <w:rFonts w:ascii="Arial" w:hAnsi="Arial" w:cs="Arial"/>
                      <w:b/>
                      <w:sz w:val="20"/>
                      <w:szCs w:val="20"/>
                    </w:rPr>
                  </w:pPr>
                  <w:r w:rsidRPr="00247543">
                    <w:rPr>
                      <w:rFonts w:ascii="Arial" w:hAnsi="Arial" w:cs="Arial"/>
                      <w:b/>
                      <w:sz w:val="20"/>
                      <w:szCs w:val="20"/>
                    </w:rPr>
                    <w:t>Variance (%)</w:t>
                  </w:r>
                </w:p>
              </w:tc>
              <w:tc>
                <w:tcPr>
                  <w:tcW w:w="4049" w:type="dxa"/>
                </w:tcPr>
                <w:p w:rsidR="00400511" w:rsidRPr="00247543" w:rsidRDefault="00400511" w:rsidP="00D74A54">
                  <w:pPr>
                    <w:jc w:val="center"/>
                    <w:rPr>
                      <w:rFonts w:ascii="Arial" w:hAnsi="Arial" w:cs="Arial"/>
                      <w:b/>
                      <w:sz w:val="20"/>
                      <w:szCs w:val="20"/>
                    </w:rPr>
                  </w:pPr>
                  <w:r>
                    <w:rPr>
                      <w:rFonts w:ascii="Arial" w:hAnsi="Arial" w:cs="Arial"/>
                      <w:b/>
                      <w:sz w:val="20"/>
                      <w:szCs w:val="20"/>
                    </w:rPr>
                    <w:t>Link with</w:t>
                  </w:r>
                </w:p>
              </w:tc>
            </w:tr>
            <w:tr w:rsidR="00400511" w:rsidRPr="00247543" w:rsidTr="00400511">
              <w:trPr>
                <w:trHeight w:val="377"/>
              </w:trPr>
              <w:tc>
                <w:tcPr>
                  <w:tcW w:w="3361" w:type="dxa"/>
                </w:tcPr>
                <w:p w:rsidR="00400511" w:rsidRPr="00247543" w:rsidRDefault="00400511" w:rsidP="00D74A54">
                  <w:pPr>
                    <w:rPr>
                      <w:rFonts w:ascii="Arial" w:hAnsi="Arial" w:cs="Arial"/>
                      <w:sz w:val="20"/>
                      <w:szCs w:val="20"/>
                    </w:rPr>
                  </w:pPr>
                  <w:r>
                    <w:rPr>
                      <w:rFonts w:ascii="Arial" w:hAnsi="Arial" w:cs="Arial"/>
                      <w:sz w:val="20"/>
                      <w:szCs w:val="20"/>
                    </w:rPr>
                    <w:t>Inventories</w:t>
                  </w:r>
                </w:p>
              </w:tc>
              <w:tc>
                <w:tcPr>
                  <w:tcW w:w="1496" w:type="dxa"/>
                </w:tcPr>
                <w:p w:rsidR="00400511" w:rsidRPr="006A6714" w:rsidRDefault="00400511" w:rsidP="00D74A54">
                  <w:pPr>
                    <w:jc w:val="center"/>
                    <w:rPr>
                      <w:rFonts w:ascii="Arial" w:hAnsi="Arial" w:cs="Arial"/>
                      <w:sz w:val="20"/>
                      <w:szCs w:val="20"/>
                    </w:rPr>
                  </w:pPr>
                  <w:r w:rsidRPr="005570E2">
                    <w:rPr>
                      <w:rFonts w:ascii="Arial" w:hAnsi="Arial" w:cs="Arial"/>
                      <w:bCs/>
                      <w:color w:val="000000"/>
                      <w:sz w:val="20"/>
                      <w:szCs w:val="20"/>
                    </w:rPr>
                    <w:t>2</w:t>
                  </w:r>
                  <w:r>
                    <w:rPr>
                      <w:rFonts w:ascii="Arial" w:hAnsi="Arial" w:cs="Arial"/>
                      <w:bCs/>
                      <w:color w:val="000000"/>
                      <w:sz w:val="20"/>
                      <w:szCs w:val="20"/>
                    </w:rPr>
                    <w:t>,</w:t>
                  </w:r>
                  <w:r w:rsidRPr="005570E2">
                    <w:rPr>
                      <w:rFonts w:ascii="Arial" w:hAnsi="Arial" w:cs="Arial"/>
                      <w:bCs/>
                      <w:color w:val="000000"/>
                      <w:sz w:val="20"/>
                      <w:szCs w:val="20"/>
                    </w:rPr>
                    <w:t>961</w:t>
                  </w:r>
                  <w:r>
                    <w:rPr>
                      <w:rFonts w:ascii="Arial" w:hAnsi="Arial" w:cs="Arial"/>
                      <w:bCs/>
                      <w:color w:val="000000"/>
                      <w:sz w:val="20"/>
                      <w:szCs w:val="20"/>
                    </w:rPr>
                    <w:t>,</w:t>
                  </w:r>
                  <w:r w:rsidRPr="005570E2">
                    <w:rPr>
                      <w:rFonts w:ascii="Arial" w:hAnsi="Arial" w:cs="Arial"/>
                      <w:bCs/>
                      <w:color w:val="000000"/>
                      <w:sz w:val="20"/>
                      <w:szCs w:val="20"/>
                    </w:rPr>
                    <w:t>175</w:t>
                  </w:r>
                  <w:r>
                    <w:rPr>
                      <w:rFonts w:ascii="Arial" w:hAnsi="Arial" w:cs="Arial"/>
                      <w:bCs/>
                      <w:color w:val="000000"/>
                      <w:sz w:val="20"/>
                      <w:szCs w:val="20"/>
                    </w:rPr>
                    <w:t>,</w:t>
                  </w:r>
                  <w:r w:rsidRPr="005570E2">
                    <w:rPr>
                      <w:rFonts w:ascii="Arial" w:hAnsi="Arial" w:cs="Arial"/>
                      <w:bCs/>
                      <w:color w:val="000000"/>
                      <w:sz w:val="20"/>
                      <w:szCs w:val="20"/>
                    </w:rPr>
                    <w:t>971</w:t>
                  </w:r>
                </w:p>
              </w:tc>
              <w:tc>
                <w:tcPr>
                  <w:tcW w:w="1481" w:type="dxa"/>
                </w:tcPr>
                <w:p w:rsidR="00400511" w:rsidRPr="00D74A54" w:rsidRDefault="00400511" w:rsidP="00D74A54">
                  <w:pPr>
                    <w:jc w:val="center"/>
                    <w:rPr>
                      <w:rFonts w:ascii="Arial" w:hAnsi="Arial" w:cs="Arial"/>
                      <w:sz w:val="20"/>
                      <w:szCs w:val="20"/>
                    </w:rPr>
                  </w:pPr>
                  <w:r w:rsidRPr="00D74A54">
                    <w:t>2,553,330,342</w:t>
                  </w:r>
                </w:p>
              </w:tc>
              <w:tc>
                <w:tcPr>
                  <w:tcW w:w="1440" w:type="dxa"/>
                </w:tcPr>
                <w:p w:rsidR="00400511" w:rsidRPr="00247543" w:rsidRDefault="00400511" w:rsidP="00D74A54">
                  <w:pPr>
                    <w:jc w:val="center"/>
                    <w:rPr>
                      <w:rFonts w:ascii="Arial" w:hAnsi="Arial" w:cs="Arial"/>
                      <w:sz w:val="20"/>
                      <w:szCs w:val="20"/>
                    </w:rPr>
                  </w:pPr>
                  <w:r w:rsidRPr="005570E2">
                    <w:rPr>
                      <w:rFonts w:ascii="Arial" w:hAnsi="Arial" w:cs="Arial"/>
                      <w:sz w:val="20"/>
                      <w:szCs w:val="20"/>
                    </w:rPr>
                    <w:t>407</w:t>
                  </w:r>
                  <w:r>
                    <w:rPr>
                      <w:rFonts w:ascii="Arial" w:hAnsi="Arial" w:cs="Arial"/>
                      <w:sz w:val="20"/>
                      <w:szCs w:val="20"/>
                    </w:rPr>
                    <w:t>,</w:t>
                  </w:r>
                  <w:r w:rsidRPr="005570E2">
                    <w:rPr>
                      <w:rFonts w:ascii="Arial" w:hAnsi="Arial" w:cs="Arial"/>
                      <w:sz w:val="20"/>
                      <w:szCs w:val="20"/>
                    </w:rPr>
                    <w:t>845</w:t>
                  </w:r>
                  <w:r>
                    <w:rPr>
                      <w:rFonts w:ascii="Arial" w:hAnsi="Arial" w:cs="Arial"/>
                      <w:sz w:val="20"/>
                      <w:szCs w:val="20"/>
                    </w:rPr>
                    <w:t>,</w:t>
                  </w:r>
                  <w:r w:rsidRPr="005570E2">
                    <w:rPr>
                      <w:rFonts w:ascii="Arial" w:hAnsi="Arial" w:cs="Arial"/>
                      <w:sz w:val="20"/>
                      <w:szCs w:val="20"/>
                    </w:rPr>
                    <w:t>629</w:t>
                  </w:r>
                </w:p>
              </w:tc>
              <w:tc>
                <w:tcPr>
                  <w:tcW w:w="1473" w:type="dxa"/>
                </w:tcPr>
                <w:p w:rsidR="00400511" w:rsidRPr="00247543" w:rsidRDefault="00400511" w:rsidP="00D74A54">
                  <w:pPr>
                    <w:jc w:val="center"/>
                    <w:rPr>
                      <w:rFonts w:ascii="Arial" w:hAnsi="Arial" w:cs="Arial"/>
                      <w:sz w:val="20"/>
                      <w:szCs w:val="20"/>
                    </w:rPr>
                  </w:pPr>
                  <w:r>
                    <w:rPr>
                      <w:rFonts w:ascii="Arial" w:hAnsi="Arial" w:cs="Arial"/>
                      <w:sz w:val="20"/>
                      <w:szCs w:val="20"/>
                    </w:rPr>
                    <w:t>16%</w:t>
                  </w:r>
                </w:p>
              </w:tc>
              <w:tc>
                <w:tcPr>
                  <w:tcW w:w="4049" w:type="dxa"/>
                </w:tcPr>
                <w:p w:rsidR="00400511" w:rsidRDefault="00400511" w:rsidP="00D74A54">
                  <w:pPr>
                    <w:jc w:val="center"/>
                    <w:rPr>
                      <w:rFonts w:ascii="Arial" w:hAnsi="Arial" w:cs="Arial"/>
                      <w:sz w:val="20"/>
                      <w:szCs w:val="20"/>
                    </w:rPr>
                  </w:pPr>
                  <w:r>
                    <w:rPr>
                      <w:rFonts w:ascii="Arial" w:hAnsi="Arial" w:cs="Arial"/>
                      <w:sz w:val="20"/>
                      <w:szCs w:val="20"/>
                    </w:rPr>
                    <w:t xml:space="preserve">Referenced TB I and </w:t>
                  </w:r>
                  <w:r w:rsidR="00FD4417">
                    <w:rPr>
                      <w:rFonts w:ascii="Arial" w:hAnsi="Arial" w:cs="Arial"/>
                      <w:sz w:val="20"/>
                      <w:szCs w:val="20"/>
                    </w:rPr>
                    <w:t>Notes to the FS 10</w:t>
                  </w:r>
                </w:p>
              </w:tc>
            </w:tr>
          </w:tbl>
          <w:p w:rsidR="00D74A54" w:rsidRDefault="00D74A54" w:rsidP="00EF5259">
            <w:pPr>
              <w:spacing w:after="160" w:line="259" w:lineRule="auto"/>
              <w:rPr>
                <w:rFonts w:ascii="Arial" w:hAnsi="Arial" w:cs="Arial"/>
                <w:color w:val="000000"/>
                <w:sz w:val="20"/>
                <w:szCs w:val="20"/>
              </w:rPr>
            </w:pPr>
          </w:p>
          <w:tbl>
            <w:tblPr>
              <w:tblW w:w="13500" w:type="dxa"/>
              <w:tblLook w:val="04A0" w:firstRow="1" w:lastRow="0" w:firstColumn="1" w:lastColumn="0" w:noHBand="0" w:noVBand="1"/>
            </w:tblPr>
            <w:tblGrid>
              <w:gridCol w:w="1415"/>
              <w:gridCol w:w="12085"/>
            </w:tblGrid>
            <w:tr w:rsidR="005570E2" w:rsidRPr="00247543" w:rsidTr="005570E2">
              <w:trPr>
                <w:trHeight w:val="230"/>
              </w:trPr>
              <w:tc>
                <w:tcPr>
                  <w:tcW w:w="1415"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70E2" w:rsidRPr="00247543" w:rsidRDefault="005570E2" w:rsidP="005570E2">
                  <w:pPr>
                    <w:jc w:val="both"/>
                    <w:rPr>
                      <w:rFonts w:ascii="Arial" w:hAnsi="Arial" w:cs="Arial"/>
                      <w:b/>
                      <w:bCs/>
                      <w:color w:val="000000"/>
                      <w:sz w:val="20"/>
                      <w:szCs w:val="20"/>
                    </w:rPr>
                  </w:pPr>
                  <w:r w:rsidRPr="00247543">
                    <w:rPr>
                      <w:rFonts w:ascii="Arial" w:hAnsi="Arial" w:cs="Arial"/>
                      <w:b/>
                      <w:bCs/>
                      <w:color w:val="000000"/>
                      <w:sz w:val="20"/>
                      <w:szCs w:val="20"/>
                    </w:rPr>
                    <w:t>Procedures performed:</w:t>
                  </w:r>
                </w:p>
              </w:tc>
              <w:tc>
                <w:tcPr>
                  <w:tcW w:w="120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570E2" w:rsidRPr="00DD75CC" w:rsidRDefault="005570E2" w:rsidP="005570E2">
                  <w:pPr>
                    <w:pStyle w:val="ListParagraph"/>
                    <w:numPr>
                      <w:ilvl w:val="0"/>
                      <w:numId w:val="23"/>
                    </w:numPr>
                    <w:jc w:val="both"/>
                    <w:rPr>
                      <w:rFonts w:ascii="Arial" w:hAnsi="Arial" w:cs="Arial"/>
                      <w:color w:val="000000"/>
                      <w:sz w:val="20"/>
                      <w:szCs w:val="20"/>
                    </w:rPr>
                  </w:pPr>
                  <w:r w:rsidRPr="00DD75CC">
                    <w:rPr>
                      <w:rFonts w:ascii="Arial" w:hAnsi="Arial" w:cs="Arial"/>
                      <w:color w:val="000000"/>
                      <w:sz w:val="20"/>
                      <w:szCs w:val="20"/>
                    </w:rPr>
                    <w:t>Confirmed the previous year’s balance with the audited financial statements of the previous year.</w:t>
                  </w:r>
                </w:p>
                <w:p w:rsidR="005570E2" w:rsidRPr="00DD75CC" w:rsidRDefault="005570E2" w:rsidP="005570E2">
                  <w:pPr>
                    <w:pStyle w:val="ListParagraph"/>
                    <w:numPr>
                      <w:ilvl w:val="0"/>
                      <w:numId w:val="23"/>
                    </w:numPr>
                    <w:jc w:val="both"/>
                    <w:rPr>
                      <w:rFonts w:ascii="Arial" w:hAnsi="Arial" w:cs="Arial"/>
                      <w:color w:val="000000"/>
                      <w:sz w:val="20"/>
                      <w:szCs w:val="20"/>
                    </w:rPr>
                  </w:pPr>
                  <w:r w:rsidRPr="00DD75CC">
                    <w:rPr>
                      <w:rFonts w:ascii="Arial" w:hAnsi="Arial" w:cs="Arial"/>
                      <w:sz w:val="20"/>
                      <w:szCs w:val="20"/>
                    </w:rPr>
                    <w:t>Obtained and checked a lead schedule for the current year’s figures and reconcile this to the nominal ledger.</w:t>
                  </w:r>
                </w:p>
                <w:p w:rsidR="005570E2" w:rsidRPr="00DD75CC" w:rsidRDefault="005570E2" w:rsidP="005570E2">
                  <w:pPr>
                    <w:pStyle w:val="ListParagraph"/>
                    <w:numPr>
                      <w:ilvl w:val="0"/>
                      <w:numId w:val="23"/>
                    </w:numPr>
                    <w:jc w:val="both"/>
                    <w:rPr>
                      <w:rFonts w:ascii="Arial" w:hAnsi="Arial" w:cs="Arial"/>
                      <w:color w:val="000000"/>
                      <w:sz w:val="20"/>
                      <w:szCs w:val="20"/>
                    </w:rPr>
                  </w:pPr>
                  <w:r w:rsidRPr="00DD75CC">
                    <w:rPr>
                      <w:rFonts w:ascii="Arial" w:hAnsi="Arial" w:cs="Arial"/>
                      <w:sz w:val="20"/>
                      <w:szCs w:val="20"/>
                    </w:rPr>
                    <w:t>Examined adjusting journal entries posted during the preparation of the financial statements.</w:t>
                  </w:r>
                </w:p>
                <w:p w:rsidR="005570E2" w:rsidRPr="00DD75CC" w:rsidRDefault="005570E2" w:rsidP="005570E2">
                  <w:pPr>
                    <w:pStyle w:val="ListParagraph"/>
                    <w:numPr>
                      <w:ilvl w:val="0"/>
                      <w:numId w:val="23"/>
                    </w:numPr>
                    <w:jc w:val="both"/>
                    <w:rPr>
                      <w:rFonts w:ascii="Arial" w:hAnsi="Arial" w:cs="Arial"/>
                      <w:color w:val="000000"/>
                      <w:sz w:val="20"/>
                      <w:szCs w:val="20"/>
                    </w:rPr>
                  </w:pPr>
                  <w:r w:rsidRPr="00DD75CC">
                    <w:rPr>
                      <w:rFonts w:ascii="Arial" w:hAnsi="Arial" w:cs="Arial"/>
                      <w:sz w:val="20"/>
                      <w:szCs w:val="20"/>
                    </w:rPr>
                    <w:t>Inquired management about large and/or unusual items and justification for such items.</w:t>
                  </w:r>
                </w:p>
                <w:p w:rsidR="005570E2" w:rsidRPr="00247543" w:rsidRDefault="005570E2" w:rsidP="005570E2">
                  <w:pPr>
                    <w:pStyle w:val="ListParagraph"/>
                    <w:numPr>
                      <w:ilvl w:val="0"/>
                      <w:numId w:val="23"/>
                    </w:numPr>
                    <w:jc w:val="both"/>
                    <w:rPr>
                      <w:rFonts w:ascii="Arial" w:hAnsi="Arial" w:cs="Arial"/>
                      <w:color w:val="000000"/>
                      <w:sz w:val="20"/>
                      <w:szCs w:val="20"/>
                    </w:rPr>
                  </w:pPr>
                  <w:r w:rsidRPr="00DD75CC">
                    <w:rPr>
                      <w:rFonts w:ascii="Arial" w:hAnsi="Arial" w:cs="Arial"/>
                      <w:sz w:val="20"/>
                      <w:szCs w:val="20"/>
                    </w:rPr>
                    <w:t>Tested the cast of the list.</w:t>
                  </w:r>
                </w:p>
              </w:tc>
            </w:tr>
            <w:tr w:rsidR="005570E2" w:rsidRPr="00247543" w:rsidTr="005570E2">
              <w:trPr>
                <w:trHeight w:val="230"/>
              </w:trPr>
              <w:tc>
                <w:tcPr>
                  <w:tcW w:w="1415"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570E2" w:rsidRPr="00247543" w:rsidRDefault="005570E2" w:rsidP="005570E2">
                  <w:pPr>
                    <w:rPr>
                      <w:rFonts w:ascii="Arial" w:hAnsi="Arial" w:cs="Arial"/>
                      <w:b/>
                      <w:bCs/>
                      <w:color w:val="000000"/>
                      <w:sz w:val="20"/>
                      <w:szCs w:val="20"/>
                    </w:rPr>
                  </w:pPr>
                </w:p>
              </w:tc>
              <w:tc>
                <w:tcPr>
                  <w:tcW w:w="12085" w:type="dxa"/>
                  <w:vMerge/>
                  <w:tcBorders>
                    <w:top w:val="single" w:sz="4" w:space="0" w:color="auto"/>
                    <w:left w:val="single" w:sz="4" w:space="0" w:color="auto"/>
                    <w:bottom w:val="single" w:sz="4" w:space="0" w:color="auto"/>
                    <w:right w:val="single" w:sz="4" w:space="0" w:color="auto"/>
                  </w:tcBorders>
                  <w:vAlign w:val="center"/>
                  <w:hideMark/>
                </w:tcPr>
                <w:p w:rsidR="005570E2" w:rsidRPr="00247543" w:rsidRDefault="005570E2" w:rsidP="005570E2">
                  <w:pPr>
                    <w:rPr>
                      <w:rFonts w:ascii="Arial" w:hAnsi="Arial" w:cs="Arial"/>
                      <w:color w:val="000000"/>
                      <w:sz w:val="20"/>
                      <w:szCs w:val="20"/>
                    </w:rPr>
                  </w:pPr>
                </w:p>
              </w:tc>
            </w:tr>
          </w:tbl>
          <w:p w:rsidR="00D74A54" w:rsidRDefault="00D74A54"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C50D9A" w:rsidRDefault="00C50D9A"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p w:rsidR="00EF1B0C" w:rsidRDefault="00EF1B0C" w:rsidP="00EF5259">
            <w:pPr>
              <w:spacing w:after="160" w:line="259" w:lineRule="auto"/>
              <w:rPr>
                <w:rFonts w:ascii="Arial" w:hAnsi="Arial" w:cs="Arial"/>
                <w:color w:val="000000"/>
                <w:sz w:val="20"/>
                <w:szCs w:val="20"/>
              </w:rPr>
            </w:pPr>
          </w:p>
          <w:tbl>
            <w:tblPr>
              <w:tblStyle w:val="TableGrid"/>
              <w:tblW w:w="0" w:type="auto"/>
              <w:tblLook w:val="04A0" w:firstRow="1" w:lastRow="0" w:firstColumn="1" w:lastColumn="0" w:noHBand="0" w:noVBand="1"/>
            </w:tblPr>
            <w:tblGrid>
              <w:gridCol w:w="13662"/>
            </w:tblGrid>
            <w:tr w:rsidR="00EF1B0C" w:rsidTr="00EF1B0C">
              <w:tc>
                <w:tcPr>
                  <w:tcW w:w="13662" w:type="dxa"/>
                  <w:shd w:val="clear" w:color="auto" w:fill="D0CECE" w:themeFill="background2" w:themeFillShade="E6"/>
                </w:tcPr>
                <w:p w:rsidR="00EF1B0C" w:rsidRPr="00EF1B0C" w:rsidRDefault="00EF1B0C" w:rsidP="00EF1B0C">
                  <w:pPr>
                    <w:jc w:val="center"/>
                    <w:rPr>
                      <w:rFonts w:ascii="Arial" w:hAnsi="Arial" w:cs="Arial"/>
                      <w:b/>
                      <w:bCs/>
                      <w:sz w:val="20"/>
                      <w:szCs w:val="20"/>
                    </w:rPr>
                  </w:pPr>
                  <w:r>
                    <w:rPr>
                      <w:rFonts w:ascii="Arial" w:hAnsi="Arial" w:cs="Arial"/>
                      <w:b/>
                      <w:bCs/>
                      <w:sz w:val="20"/>
                      <w:szCs w:val="20"/>
                    </w:rPr>
                    <w:lastRenderedPageBreak/>
                    <w:t>Result of testing</w:t>
                  </w:r>
                </w:p>
              </w:tc>
            </w:tr>
          </w:tbl>
          <w:p w:rsidR="00025F51" w:rsidRDefault="00025F51" w:rsidP="00EF5259">
            <w:pPr>
              <w:spacing w:after="160" w:line="259" w:lineRule="auto"/>
              <w:rPr>
                <w:rFonts w:ascii="Arial" w:hAnsi="Arial" w:cs="Arial"/>
                <w:color w:val="000000"/>
                <w:sz w:val="20"/>
                <w:szCs w:val="20"/>
              </w:rPr>
            </w:pPr>
          </w:p>
          <w:tbl>
            <w:tblPr>
              <w:tblW w:w="0" w:type="auto"/>
              <w:tblLook w:val="04A0" w:firstRow="1" w:lastRow="0" w:firstColumn="1" w:lastColumn="0" w:noHBand="0" w:noVBand="1"/>
            </w:tblPr>
            <w:tblGrid>
              <w:gridCol w:w="3596"/>
              <w:gridCol w:w="1793"/>
              <w:gridCol w:w="1337"/>
              <w:gridCol w:w="1811"/>
              <w:gridCol w:w="271"/>
              <w:gridCol w:w="1801"/>
              <w:gridCol w:w="1778"/>
              <w:gridCol w:w="1811"/>
            </w:tblGrid>
            <w:tr w:rsidR="00C415D0" w:rsidRPr="00C415D0" w:rsidTr="00C415D0">
              <w:trPr>
                <w:trHeight w:val="300"/>
              </w:trPr>
              <w:tc>
                <w:tcPr>
                  <w:tcW w:w="0" w:type="auto"/>
                  <w:vMerge w:val="restart"/>
                  <w:tcBorders>
                    <w:top w:val="single" w:sz="4" w:space="0" w:color="auto"/>
                    <w:left w:val="nil"/>
                    <w:bottom w:val="single" w:sz="4" w:space="0" w:color="000000"/>
                    <w:right w:val="nil"/>
                  </w:tcBorders>
                  <w:shd w:val="clear" w:color="auto" w:fill="auto"/>
                  <w:noWrap/>
                  <w:vAlign w:val="center"/>
                  <w:hideMark/>
                </w:tcPr>
                <w:p w:rsidR="00C415D0" w:rsidRPr="00C415D0" w:rsidRDefault="00C415D0" w:rsidP="00C415D0">
                  <w:pPr>
                    <w:rPr>
                      <w:b/>
                      <w:bCs/>
                    </w:rPr>
                  </w:pPr>
                  <w:r w:rsidRPr="00C415D0">
                    <w:rPr>
                      <w:b/>
                      <w:bCs/>
                      <w:sz w:val="22"/>
                      <w:szCs w:val="22"/>
                    </w:rPr>
                    <w:t>Particulars</w:t>
                  </w:r>
                </w:p>
              </w:tc>
              <w:tc>
                <w:tcPr>
                  <w:tcW w:w="0" w:type="auto"/>
                  <w:gridSpan w:val="3"/>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pPr>
                    <w:jc w:val="center"/>
                    <w:rPr>
                      <w:b/>
                      <w:bCs/>
                    </w:rPr>
                  </w:pPr>
                  <w:r w:rsidRPr="00C415D0">
                    <w:rPr>
                      <w:b/>
                      <w:bCs/>
                      <w:sz w:val="22"/>
                      <w:szCs w:val="22"/>
                    </w:rPr>
                    <w:t xml:space="preserve"> 2014 </w:t>
                  </w:r>
                </w:p>
              </w:tc>
              <w:tc>
                <w:tcPr>
                  <w:tcW w:w="0" w:type="auto"/>
                  <w:tcBorders>
                    <w:top w:val="single" w:sz="4" w:space="0" w:color="auto"/>
                    <w:left w:val="nil"/>
                    <w:bottom w:val="nil"/>
                    <w:right w:val="nil"/>
                  </w:tcBorders>
                  <w:shd w:val="clear" w:color="auto" w:fill="auto"/>
                  <w:noWrap/>
                  <w:vAlign w:val="bottom"/>
                  <w:hideMark/>
                </w:tcPr>
                <w:p w:rsidR="00C415D0" w:rsidRPr="00C415D0" w:rsidRDefault="00C415D0" w:rsidP="00C415D0">
                  <w:pPr>
                    <w:jc w:val="center"/>
                    <w:rPr>
                      <w:b/>
                      <w:bCs/>
                    </w:rPr>
                  </w:pPr>
                  <w:r w:rsidRPr="00C415D0">
                    <w:rPr>
                      <w:b/>
                      <w:bCs/>
                      <w:sz w:val="22"/>
                      <w:szCs w:val="22"/>
                    </w:rPr>
                    <w:t> </w:t>
                  </w:r>
                </w:p>
              </w:tc>
              <w:tc>
                <w:tcPr>
                  <w:tcW w:w="0" w:type="auto"/>
                  <w:gridSpan w:val="3"/>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pPr>
                    <w:jc w:val="center"/>
                    <w:rPr>
                      <w:b/>
                      <w:bCs/>
                    </w:rPr>
                  </w:pPr>
                  <w:r w:rsidRPr="00C415D0">
                    <w:rPr>
                      <w:b/>
                      <w:bCs/>
                      <w:sz w:val="22"/>
                      <w:szCs w:val="22"/>
                    </w:rPr>
                    <w:t xml:space="preserve"> 2013 </w:t>
                  </w:r>
                </w:p>
              </w:tc>
            </w:tr>
            <w:tr w:rsidR="00936767" w:rsidRPr="00C415D0" w:rsidTr="00C415D0">
              <w:trPr>
                <w:trHeight w:val="1425"/>
              </w:trPr>
              <w:tc>
                <w:tcPr>
                  <w:tcW w:w="0" w:type="auto"/>
                  <w:vMerge/>
                  <w:tcBorders>
                    <w:top w:val="single" w:sz="4" w:space="0" w:color="auto"/>
                    <w:left w:val="nil"/>
                    <w:bottom w:val="single" w:sz="4" w:space="0" w:color="000000"/>
                    <w:right w:val="nil"/>
                  </w:tcBorders>
                  <w:vAlign w:val="center"/>
                  <w:hideMark/>
                </w:tcPr>
                <w:p w:rsidR="00C415D0" w:rsidRPr="00C415D0" w:rsidRDefault="00C415D0" w:rsidP="00C415D0">
                  <w:pPr>
                    <w:rPr>
                      <w:b/>
                      <w:bCs/>
                    </w:rPr>
                  </w:pP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As per GL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Adjustment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As per Financials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As per financials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Confirmed balance of 2013 from audited figure </w:t>
                  </w:r>
                </w:p>
              </w:tc>
              <w:tc>
                <w:tcPr>
                  <w:tcW w:w="0" w:type="auto"/>
                  <w:tcBorders>
                    <w:top w:val="nil"/>
                    <w:left w:val="nil"/>
                    <w:bottom w:val="single" w:sz="4" w:space="0" w:color="auto"/>
                    <w:right w:val="nil"/>
                  </w:tcBorders>
                  <w:shd w:val="clear" w:color="auto" w:fill="auto"/>
                  <w:vAlign w:val="center"/>
                  <w:hideMark/>
                </w:tcPr>
                <w:p w:rsidR="00C415D0" w:rsidRPr="00C415D0" w:rsidRDefault="00C415D0" w:rsidP="00C415D0">
                  <w:pPr>
                    <w:jc w:val="center"/>
                    <w:rPr>
                      <w:b/>
                      <w:bCs/>
                    </w:rPr>
                  </w:pPr>
                  <w:r w:rsidRPr="00C415D0">
                    <w:rPr>
                      <w:b/>
                      <w:bCs/>
                      <w:sz w:val="22"/>
                      <w:szCs w:val="22"/>
                    </w:rPr>
                    <w:t xml:space="preserve"> As per Financials </w:t>
                  </w:r>
                </w:p>
              </w:tc>
            </w:tr>
            <w:tr w:rsidR="00C415D0" w:rsidRPr="00C415D0" w:rsidTr="00C415D0">
              <w:trPr>
                <w:trHeight w:val="300"/>
              </w:trPr>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b/>
                      <w:bCs/>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c>
                <w:tcPr>
                  <w:tcW w:w="0" w:type="auto"/>
                  <w:tcBorders>
                    <w:top w:val="nil"/>
                    <w:left w:val="nil"/>
                    <w:bottom w:val="nil"/>
                    <w:right w:val="nil"/>
                  </w:tcBorders>
                  <w:shd w:val="clear" w:color="auto" w:fill="auto"/>
                  <w:noWrap/>
                  <w:vAlign w:val="bottom"/>
                  <w:hideMark/>
                </w:tcPr>
                <w:p w:rsidR="00C415D0" w:rsidRPr="00C415D0" w:rsidRDefault="00C415D0" w:rsidP="00C415D0">
                  <w:pPr>
                    <w:jc w:val="center"/>
                    <w:rPr>
                      <w:sz w:val="20"/>
                      <w:szCs w:val="20"/>
                    </w:rPr>
                  </w:pPr>
                </w:p>
              </w:tc>
            </w:tr>
            <w:tr w:rsidR="00C415D0" w:rsidRPr="00C415D0" w:rsidTr="00C415D0">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Raw materials</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724,011,984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724,011,984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502,928,357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502,928,357 </w:t>
                  </w:r>
                </w:p>
              </w:tc>
            </w:tr>
            <w:tr w:rsidR="00C415D0" w:rsidRPr="00C415D0" w:rsidTr="00C415D0">
              <w:trPr>
                <w:trHeight w:val="300"/>
              </w:trPr>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Packing materials</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241,697,100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241,697,100 </w:t>
                  </w:r>
                </w:p>
              </w:tc>
              <w:tc>
                <w:tcPr>
                  <w:tcW w:w="0" w:type="auto"/>
                  <w:tcBorders>
                    <w:top w:val="nil"/>
                    <w:left w:val="nil"/>
                    <w:bottom w:val="nil"/>
                    <w:right w:val="nil"/>
                  </w:tcBorders>
                  <w:shd w:val="clear" w:color="auto" w:fill="auto"/>
                  <w:noWrap/>
                  <w:vAlign w:val="bottom"/>
                  <w:hideMark/>
                </w:tcPr>
                <w:p w:rsidR="00C415D0" w:rsidRPr="00C415D0" w:rsidRDefault="00C415D0" w:rsidP="00C415D0"/>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169,566,009 </w:t>
                  </w:r>
                </w:p>
              </w:tc>
              <w:tc>
                <w:tcPr>
                  <w:tcW w:w="0" w:type="auto"/>
                  <w:tcBorders>
                    <w:top w:val="nil"/>
                    <w:left w:val="nil"/>
                    <w:bottom w:val="nil"/>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169,566,009 </w:t>
                  </w:r>
                </w:p>
              </w:tc>
            </w:tr>
            <w:tr w:rsidR="00C415D0" w:rsidRPr="00C415D0" w:rsidTr="00C415D0">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Work in process</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82,684,794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82,684,794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56,750,090 </w:t>
                  </w:r>
                </w:p>
              </w:tc>
              <w:tc>
                <w:tcPr>
                  <w:tcW w:w="0" w:type="auto"/>
                  <w:tcBorders>
                    <w:top w:val="single" w:sz="4" w:space="0" w:color="auto"/>
                    <w:left w:val="nil"/>
                    <w:bottom w:val="single" w:sz="4" w:space="0" w:color="auto"/>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56,750,090 </w:t>
                  </w:r>
                </w:p>
              </w:tc>
            </w:tr>
            <w:tr w:rsidR="00C415D0" w:rsidRPr="00C415D0" w:rsidTr="00C415D0">
              <w:trPr>
                <w:trHeight w:val="300"/>
              </w:trPr>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Finished goods</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1,951,960,246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1,951,960,246 </w:t>
                  </w:r>
                </w:p>
              </w:tc>
              <w:tc>
                <w:tcPr>
                  <w:tcW w:w="0" w:type="auto"/>
                  <w:tcBorders>
                    <w:top w:val="nil"/>
                    <w:left w:val="nil"/>
                    <w:bottom w:val="nil"/>
                    <w:right w:val="nil"/>
                  </w:tcBorders>
                  <w:shd w:val="clear" w:color="auto" w:fill="auto"/>
                  <w:noWrap/>
                  <w:vAlign w:val="bottom"/>
                  <w:hideMark/>
                </w:tcPr>
                <w:p w:rsidR="00C415D0" w:rsidRPr="00C415D0" w:rsidRDefault="00C415D0" w:rsidP="00C415D0"/>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1,774,219,427 </w:t>
                  </w:r>
                </w:p>
              </w:tc>
              <w:tc>
                <w:tcPr>
                  <w:tcW w:w="0" w:type="auto"/>
                  <w:tcBorders>
                    <w:top w:val="nil"/>
                    <w:left w:val="nil"/>
                    <w:bottom w:val="nil"/>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1,774,219,427 </w:t>
                  </w:r>
                </w:p>
              </w:tc>
            </w:tr>
            <w:tr w:rsidR="00C415D0" w:rsidRPr="00C415D0" w:rsidTr="00C415D0">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Goods in transit</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115,235,985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115,235,985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198,109,813 </w:t>
                  </w:r>
                </w:p>
              </w:tc>
              <w:tc>
                <w:tcPr>
                  <w:tcW w:w="0" w:type="auto"/>
                  <w:tcBorders>
                    <w:top w:val="single" w:sz="4" w:space="0" w:color="auto"/>
                    <w:left w:val="nil"/>
                    <w:bottom w:val="single" w:sz="4" w:space="0" w:color="auto"/>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198,109,813 </w:t>
                  </w:r>
                </w:p>
              </w:tc>
            </w:tr>
            <w:tr w:rsidR="00C415D0" w:rsidRPr="00C415D0" w:rsidTr="00C415D0">
              <w:trPr>
                <w:trHeight w:val="300"/>
              </w:trPr>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Other inventories</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26,850,950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26,850,950 </w:t>
                  </w:r>
                </w:p>
              </w:tc>
              <w:tc>
                <w:tcPr>
                  <w:tcW w:w="0" w:type="auto"/>
                  <w:tcBorders>
                    <w:top w:val="nil"/>
                    <w:left w:val="nil"/>
                    <w:bottom w:val="nil"/>
                    <w:right w:val="nil"/>
                  </w:tcBorders>
                  <w:shd w:val="clear" w:color="auto" w:fill="auto"/>
                  <w:noWrap/>
                  <w:vAlign w:val="bottom"/>
                  <w:hideMark/>
                </w:tcPr>
                <w:p w:rsidR="00C415D0" w:rsidRPr="00C415D0" w:rsidRDefault="00C415D0" w:rsidP="00C415D0"/>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30,789,189 </w:t>
                  </w:r>
                </w:p>
              </w:tc>
              <w:tc>
                <w:tcPr>
                  <w:tcW w:w="0" w:type="auto"/>
                  <w:tcBorders>
                    <w:top w:val="nil"/>
                    <w:left w:val="nil"/>
                    <w:bottom w:val="nil"/>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nil"/>
                    <w:left w:val="nil"/>
                    <w:bottom w:val="nil"/>
                    <w:right w:val="nil"/>
                  </w:tcBorders>
                  <w:shd w:val="clear" w:color="auto" w:fill="auto"/>
                  <w:noWrap/>
                  <w:vAlign w:val="bottom"/>
                  <w:hideMark/>
                </w:tcPr>
                <w:p w:rsidR="00C415D0" w:rsidRPr="00C415D0" w:rsidRDefault="00C415D0" w:rsidP="00C415D0">
                  <w:r w:rsidRPr="00C415D0">
                    <w:rPr>
                      <w:sz w:val="22"/>
                      <w:szCs w:val="22"/>
                    </w:rPr>
                    <w:t xml:space="preserve">         30,789,189 </w:t>
                  </w:r>
                </w:p>
              </w:tc>
            </w:tr>
            <w:tr w:rsidR="00C415D0" w:rsidRPr="00C415D0" w:rsidTr="00C415D0">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Allowance for slow-moving inventory</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(181,265,088)</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(181,265,088)</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(179,032,543)</w:t>
                  </w:r>
                </w:p>
              </w:tc>
              <w:tc>
                <w:tcPr>
                  <w:tcW w:w="0" w:type="auto"/>
                  <w:tcBorders>
                    <w:top w:val="single" w:sz="4" w:space="0" w:color="auto"/>
                    <w:left w:val="nil"/>
                    <w:bottom w:val="single" w:sz="4" w:space="0" w:color="auto"/>
                    <w:right w:val="nil"/>
                  </w:tcBorders>
                  <w:shd w:val="clear" w:color="auto" w:fill="auto"/>
                  <w:noWrap/>
                  <w:vAlign w:val="center"/>
                  <w:hideMark/>
                </w:tcPr>
                <w:p w:rsidR="00C415D0" w:rsidRPr="00C415D0" w:rsidRDefault="00C415D0" w:rsidP="00C415D0">
                  <w:pPr>
                    <w:jc w:val="center"/>
                    <w:rPr>
                      <w:rFonts w:ascii="Calibri" w:hAnsi="Calibri" w:cs="Calibri"/>
                      <w:b/>
                      <w:bCs/>
                    </w:rPr>
                  </w:pPr>
                  <w:r w:rsidRPr="00C415D0">
                    <w:rPr>
                      <w:rFonts w:ascii="Calibri" w:hAnsi="Calibri" w:cs="Calibri"/>
                      <w:b/>
                      <w:bCs/>
                      <w:sz w:val="22"/>
                      <w:szCs w:val="22"/>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C415D0" w:rsidRPr="00C415D0" w:rsidRDefault="00C415D0" w:rsidP="00C415D0">
                  <w:r w:rsidRPr="00C415D0">
                    <w:rPr>
                      <w:sz w:val="22"/>
                      <w:szCs w:val="22"/>
                    </w:rPr>
                    <w:t xml:space="preserve">      (179,032,543)</w:t>
                  </w:r>
                </w:p>
              </w:tc>
            </w:tr>
            <w:tr w:rsidR="00C415D0" w:rsidRPr="00C415D0" w:rsidTr="00C415D0">
              <w:trPr>
                <w:trHeight w:val="315"/>
              </w:trPr>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r w:rsidRPr="00C415D0">
                    <w:rPr>
                      <w:sz w:val="22"/>
                      <w:szCs w:val="22"/>
                    </w:rPr>
                    <w:t>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xml:space="preserve">  2,961,175,971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xml:space="preserve"> -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xml:space="preserve">  2,961,175,971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xml:space="preserve">  2,553,330,342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w:t>
                  </w:r>
                </w:p>
              </w:tc>
              <w:tc>
                <w:tcPr>
                  <w:tcW w:w="0" w:type="auto"/>
                  <w:tcBorders>
                    <w:top w:val="nil"/>
                    <w:left w:val="nil"/>
                    <w:bottom w:val="single" w:sz="8" w:space="0" w:color="auto"/>
                    <w:right w:val="nil"/>
                  </w:tcBorders>
                  <w:shd w:val="clear" w:color="auto" w:fill="auto"/>
                  <w:noWrap/>
                  <w:vAlign w:val="bottom"/>
                  <w:hideMark/>
                </w:tcPr>
                <w:p w:rsidR="00C415D0" w:rsidRPr="00C415D0" w:rsidRDefault="00C415D0" w:rsidP="00C415D0">
                  <w:pPr>
                    <w:rPr>
                      <w:b/>
                      <w:bCs/>
                    </w:rPr>
                  </w:pPr>
                  <w:r w:rsidRPr="00C415D0">
                    <w:rPr>
                      <w:b/>
                      <w:bCs/>
                      <w:sz w:val="22"/>
                      <w:szCs w:val="22"/>
                    </w:rPr>
                    <w:t xml:space="preserve">  2,553,330,342 </w:t>
                  </w:r>
                </w:p>
              </w:tc>
            </w:tr>
          </w:tbl>
          <w:p w:rsidR="005570E2" w:rsidRDefault="005570E2" w:rsidP="00EF5259">
            <w:pPr>
              <w:spacing w:after="160" w:line="259" w:lineRule="auto"/>
              <w:rPr>
                <w:rFonts w:ascii="Arial" w:hAnsi="Arial" w:cs="Arial"/>
                <w:color w:val="000000"/>
                <w:sz w:val="20"/>
                <w:szCs w:val="20"/>
              </w:rPr>
            </w:pPr>
          </w:p>
          <w:tbl>
            <w:tblPr>
              <w:tblW w:w="14188" w:type="dxa"/>
              <w:tblLook w:val="04A0" w:firstRow="1" w:lastRow="0" w:firstColumn="1" w:lastColumn="0" w:noHBand="0" w:noVBand="1"/>
            </w:tblPr>
            <w:tblGrid>
              <w:gridCol w:w="1660"/>
              <w:gridCol w:w="12528"/>
            </w:tblGrid>
            <w:tr w:rsidR="00936767" w:rsidRPr="00247543" w:rsidTr="00A82A6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36767" w:rsidRPr="00247543" w:rsidRDefault="008C4817" w:rsidP="00936767">
                  <w:pPr>
                    <w:jc w:val="both"/>
                    <w:rPr>
                      <w:rFonts w:ascii="Arial" w:hAnsi="Arial" w:cs="Arial"/>
                      <w:b/>
                      <w:bCs/>
                      <w:color w:val="000000"/>
                      <w:sz w:val="20"/>
                      <w:szCs w:val="20"/>
                    </w:rPr>
                  </w:pPr>
                  <w:r>
                    <w:rPr>
                      <w:rFonts w:ascii="Arial" w:hAnsi="Arial" w:cs="Arial"/>
                      <w:b/>
                      <w:bCs/>
                      <w:color w:val="000000"/>
                      <w:sz w:val="20"/>
                      <w:szCs w:val="20"/>
                    </w:rPr>
                    <w:t>O</w:t>
                  </w:r>
                  <w:r w:rsidR="00936767" w:rsidRPr="00247543">
                    <w:rPr>
                      <w:rFonts w:ascii="Arial" w:hAnsi="Arial" w:cs="Arial"/>
                      <w:b/>
                      <w:bCs/>
                      <w:color w:val="000000"/>
                      <w:sz w:val="20"/>
                      <w:szCs w:val="20"/>
                    </w:rPr>
                    <w:t>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6767" w:rsidRPr="00247543" w:rsidRDefault="00515176" w:rsidP="00936767">
                  <w:pPr>
                    <w:jc w:val="both"/>
                    <w:rPr>
                      <w:rFonts w:ascii="Arial" w:hAnsi="Arial" w:cs="Arial"/>
                      <w:color w:val="000000"/>
                      <w:sz w:val="20"/>
                      <w:szCs w:val="20"/>
                    </w:rPr>
                  </w:pPr>
                  <w:r>
                    <w:rPr>
                      <w:rFonts w:ascii="Arial" w:hAnsi="Arial" w:cs="Arial"/>
                      <w:color w:val="000000"/>
                      <w:sz w:val="20"/>
                      <w:szCs w:val="20"/>
                    </w:rPr>
                    <w:t>No exception noted.</w:t>
                  </w:r>
                </w:p>
              </w:tc>
            </w:tr>
            <w:tr w:rsidR="00936767" w:rsidRPr="00247543" w:rsidTr="00A82A6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36767" w:rsidRPr="00247543" w:rsidRDefault="00936767" w:rsidP="00936767">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936767" w:rsidRPr="00247543" w:rsidRDefault="00936767" w:rsidP="00936767">
                  <w:pPr>
                    <w:rPr>
                      <w:rFonts w:ascii="Arial" w:hAnsi="Arial" w:cs="Arial"/>
                      <w:color w:val="000000"/>
                      <w:sz w:val="20"/>
                      <w:szCs w:val="20"/>
                    </w:rPr>
                  </w:pPr>
                </w:p>
              </w:tc>
            </w:tr>
          </w:tbl>
          <w:p w:rsidR="00936767" w:rsidRPr="00247543" w:rsidRDefault="00936767" w:rsidP="00936767">
            <w:pPr>
              <w:rPr>
                <w:rFonts w:ascii="Arial" w:hAnsi="Arial" w:cs="Arial"/>
                <w:sz w:val="20"/>
                <w:szCs w:val="20"/>
              </w:rPr>
            </w:pPr>
          </w:p>
          <w:tbl>
            <w:tblPr>
              <w:tblW w:w="14188" w:type="dxa"/>
              <w:tblLook w:val="04A0" w:firstRow="1" w:lastRow="0" w:firstColumn="1" w:lastColumn="0" w:noHBand="0" w:noVBand="1"/>
            </w:tblPr>
            <w:tblGrid>
              <w:gridCol w:w="1660"/>
              <w:gridCol w:w="12528"/>
            </w:tblGrid>
            <w:tr w:rsidR="00936767" w:rsidRPr="00247543" w:rsidTr="00A82A6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936767" w:rsidRPr="00247543" w:rsidRDefault="00936767" w:rsidP="00936767">
                  <w:pPr>
                    <w:jc w:val="both"/>
                    <w:rPr>
                      <w:rFonts w:ascii="Arial" w:hAnsi="Arial" w:cs="Arial"/>
                      <w:b/>
                      <w:bCs/>
                      <w:color w:val="000000"/>
                      <w:sz w:val="20"/>
                      <w:szCs w:val="20"/>
                    </w:rPr>
                  </w:pPr>
                  <w:r w:rsidRPr="00247543">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6767" w:rsidRPr="00247543" w:rsidRDefault="00515176" w:rsidP="00936767">
                  <w:pPr>
                    <w:jc w:val="both"/>
                    <w:rPr>
                      <w:rFonts w:ascii="Arial" w:hAnsi="Arial" w:cs="Arial"/>
                      <w:color w:val="000000"/>
                      <w:sz w:val="20"/>
                      <w:szCs w:val="20"/>
                    </w:rPr>
                  </w:pPr>
                  <w:r w:rsidRPr="00247543">
                    <w:rPr>
                      <w:rFonts w:ascii="Arial" w:hAnsi="Arial" w:cs="Arial"/>
                      <w:color w:val="000000"/>
                      <w:sz w:val="20"/>
                      <w:szCs w:val="20"/>
                    </w:rPr>
                    <w:t>No large and/or usual items were noted during inquiry to management. Previous year’s balance has been brought forward and current year’s balance of nominal balance has been carried forward to the financial statements correctly.</w:t>
                  </w:r>
                </w:p>
              </w:tc>
            </w:tr>
            <w:tr w:rsidR="00936767" w:rsidRPr="00247543" w:rsidTr="00A82A6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936767" w:rsidRPr="00247543" w:rsidRDefault="00936767" w:rsidP="00936767">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936767" w:rsidRPr="00247543" w:rsidRDefault="00936767" w:rsidP="00936767">
                  <w:pPr>
                    <w:rPr>
                      <w:rFonts w:ascii="Arial" w:hAnsi="Arial" w:cs="Arial"/>
                      <w:color w:val="000000"/>
                      <w:sz w:val="20"/>
                      <w:szCs w:val="20"/>
                    </w:rPr>
                  </w:pPr>
                </w:p>
              </w:tc>
            </w:tr>
          </w:tbl>
          <w:p w:rsidR="004C7770" w:rsidRDefault="004C7770" w:rsidP="00EF5259">
            <w:pPr>
              <w:spacing w:after="160" w:line="259" w:lineRule="auto"/>
              <w:rPr>
                <w:rFonts w:ascii="Arial" w:hAnsi="Arial" w:cs="Arial"/>
                <w:color w:val="000000"/>
                <w:sz w:val="20"/>
                <w:szCs w:val="20"/>
              </w:rPr>
            </w:pPr>
          </w:p>
          <w:p w:rsidR="00E634FE" w:rsidRDefault="00E634FE" w:rsidP="00EF5259">
            <w:pPr>
              <w:spacing w:after="160" w:line="259" w:lineRule="auto"/>
              <w:rPr>
                <w:ins w:id="6" w:author="Asif Hossain" w:date="2020-07-18T23:04:00Z"/>
                <w:b/>
              </w:rPr>
            </w:pPr>
          </w:p>
          <w:p w:rsidR="00E634FE" w:rsidRDefault="00E634FE" w:rsidP="00EF5259">
            <w:pPr>
              <w:spacing w:after="160" w:line="259" w:lineRule="auto"/>
              <w:rPr>
                <w:ins w:id="7" w:author="Asif Hossain" w:date="2020-07-18T23:04:00Z"/>
                <w:b/>
              </w:rPr>
            </w:pPr>
          </w:p>
          <w:p w:rsidR="00E634FE" w:rsidRDefault="00E634FE" w:rsidP="00EF5259">
            <w:pPr>
              <w:spacing w:after="160" w:line="259" w:lineRule="auto"/>
              <w:rPr>
                <w:ins w:id="8" w:author="Asif Hossain" w:date="2020-07-18T23:04:00Z"/>
                <w:b/>
              </w:rPr>
            </w:pPr>
          </w:p>
          <w:p w:rsidR="00E634FE" w:rsidRDefault="00E634FE" w:rsidP="00EF5259">
            <w:pPr>
              <w:spacing w:after="160" w:line="259" w:lineRule="auto"/>
              <w:rPr>
                <w:ins w:id="9" w:author="Asif Hossain" w:date="2020-07-18T23:04:00Z"/>
                <w:b/>
              </w:rPr>
            </w:pPr>
          </w:p>
          <w:p w:rsidR="00E634FE" w:rsidRDefault="00E634FE" w:rsidP="00EF5259">
            <w:pPr>
              <w:spacing w:after="160" w:line="259" w:lineRule="auto"/>
              <w:rPr>
                <w:ins w:id="10" w:author="Asif Hossain" w:date="2020-07-18T23:04:00Z"/>
                <w:b/>
              </w:rPr>
            </w:pPr>
          </w:p>
          <w:p w:rsidR="005570E2" w:rsidRPr="00E634FE" w:rsidDel="00E634FE" w:rsidRDefault="00E634FE">
            <w:pPr>
              <w:jc w:val="both"/>
              <w:rPr>
                <w:del w:id="11" w:author="Asif Hossain" w:date="2020-07-18T23:04:00Z"/>
                <w:rFonts w:ascii="Arial" w:hAnsi="Arial" w:cs="Arial"/>
                <w:b/>
                <w:sz w:val="22"/>
                <w:szCs w:val="22"/>
                <w:rPrChange w:id="12" w:author="Asif Hossain" w:date="2020-07-18T23:04:00Z">
                  <w:rPr>
                    <w:del w:id="13" w:author="Asif Hossain" w:date="2020-07-18T23:04:00Z"/>
                    <w:rFonts w:ascii="Arial" w:hAnsi="Arial" w:cs="Arial"/>
                    <w:color w:val="000000"/>
                    <w:sz w:val="20"/>
                    <w:szCs w:val="20"/>
                  </w:rPr>
                </w:rPrChange>
              </w:rPr>
              <w:pPrChange w:id="14" w:author="Asif Hossain" w:date="2020-07-18T23:04:00Z">
                <w:pPr>
                  <w:spacing w:after="160" w:line="259" w:lineRule="auto"/>
                </w:pPr>
              </w:pPrChange>
            </w:pPr>
            <w:ins w:id="15" w:author="Asif Hossain" w:date="2020-07-18T23:04:00Z">
              <w:r w:rsidRPr="00E634FE">
                <w:rPr>
                  <w:rFonts w:ascii="Arial" w:hAnsi="Arial" w:cs="Arial"/>
                  <w:b/>
                  <w:rPrChange w:id="16" w:author="Asif Hossain" w:date="2020-07-18T23:04: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D74A54" w:rsidRPr="00E634FE" w:rsidRDefault="00D74A54">
            <w:pPr>
              <w:spacing w:after="160" w:line="259" w:lineRule="auto"/>
              <w:jc w:val="both"/>
              <w:rPr>
                <w:rFonts w:ascii="Arial" w:hAnsi="Arial" w:cs="Arial"/>
                <w:b/>
                <w:color w:val="000000"/>
                <w:sz w:val="20"/>
                <w:szCs w:val="20"/>
                <w:rPrChange w:id="17" w:author="Asif Hossain" w:date="2020-07-18T23:04:00Z">
                  <w:rPr>
                    <w:rFonts w:ascii="Arial" w:hAnsi="Arial" w:cs="Arial"/>
                    <w:color w:val="000000"/>
                    <w:sz w:val="20"/>
                    <w:szCs w:val="20"/>
                  </w:rPr>
                </w:rPrChange>
              </w:rPr>
              <w:pPrChange w:id="18" w:author="Asif Hossain" w:date="2020-07-18T23:04:00Z">
                <w:pPr>
                  <w:spacing w:after="160" w:line="259" w:lineRule="auto"/>
                </w:pPr>
              </w:pPrChange>
            </w:pPr>
          </w:p>
          <w:p w:rsidR="00D74A54" w:rsidRPr="00E634FE" w:rsidRDefault="00D74A54">
            <w:pPr>
              <w:spacing w:after="160" w:line="259" w:lineRule="auto"/>
              <w:jc w:val="both"/>
              <w:rPr>
                <w:rFonts w:ascii="Arial" w:hAnsi="Arial" w:cs="Arial"/>
                <w:b/>
                <w:color w:val="000000"/>
                <w:sz w:val="20"/>
                <w:szCs w:val="20"/>
                <w:rPrChange w:id="19" w:author="Asif Hossain" w:date="2020-07-18T23:04:00Z">
                  <w:rPr>
                    <w:rFonts w:ascii="Arial" w:hAnsi="Arial" w:cs="Arial"/>
                    <w:color w:val="000000"/>
                    <w:sz w:val="20"/>
                    <w:szCs w:val="20"/>
                  </w:rPr>
                </w:rPrChange>
              </w:rPr>
              <w:pPrChange w:id="20" w:author="Asif Hossain" w:date="2020-07-18T23:04:00Z">
                <w:pPr>
                  <w:spacing w:after="160" w:line="259" w:lineRule="auto"/>
                </w:pPr>
              </w:pPrChange>
            </w:pPr>
          </w:p>
          <w:p w:rsidR="00D74A54" w:rsidRPr="00DF6394" w:rsidRDefault="00D74A54" w:rsidP="00EF5259">
            <w:pPr>
              <w:spacing w:after="160" w:line="259" w:lineRule="auto"/>
              <w:rPr>
                <w:rFonts w:ascii="Arial" w:hAnsi="Arial" w:cs="Arial"/>
                <w:color w:val="000000"/>
                <w:sz w:val="20"/>
                <w:szCs w:val="20"/>
              </w:rPr>
            </w:pPr>
          </w:p>
        </w:tc>
        <w:tc>
          <w:tcPr>
            <w:tcW w:w="1167"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222"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222"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222"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222" w:type="dxa"/>
            <w:tcBorders>
              <w:top w:val="nil"/>
              <w:left w:val="nil"/>
              <w:bottom w:val="nil"/>
              <w:right w:val="nil"/>
            </w:tcBorders>
            <w:shd w:val="clear" w:color="auto" w:fill="auto"/>
            <w:hideMark/>
          </w:tcPr>
          <w:p w:rsidR="00505613" w:rsidRPr="00DF6394" w:rsidRDefault="00505613" w:rsidP="00271DE6">
            <w:pPr>
              <w:rPr>
                <w:rFonts w:ascii="Arial" w:hAnsi="Arial" w:cs="Arial"/>
                <w:sz w:val="20"/>
                <w:szCs w:val="20"/>
              </w:rPr>
            </w:pPr>
          </w:p>
        </w:tc>
        <w:tc>
          <w:tcPr>
            <w:tcW w:w="1058"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c>
          <w:tcPr>
            <w:tcW w:w="236" w:type="dxa"/>
            <w:tcBorders>
              <w:top w:val="nil"/>
              <w:left w:val="nil"/>
              <w:bottom w:val="nil"/>
              <w:right w:val="nil"/>
            </w:tcBorders>
            <w:shd w:val="clear" w:color="auto" w:fill="auto"/>
            <w:noWrap/>
            <w:hideMark/>
          </w:tcPr>
          <w:p w:rsidR="00505613" w:rsidRPr="00DF6394" w:rsidRDefault="00505613" w:rsidP="00271DE6">
            <w:pPr>
              <w:rPr>
                <w:rFonts w:ascii="Arial" w:hAnsi="Arial" w:cs="Arial"/>
                <w:sz w:val="20"/>
                <w:szCs w:val="20"/>
              </w:rPr>
            </w:pPr>
          </w:p>
        </w:tc>
      </w:tr>
    </w:tbl>
    <w:p w:rsidR="00B56F37" w:rsidRPr="00DF6394" w:rsidRDefault="00B56F37" w:rsidP="00D309A6">
      <w:pPr>
        <w:rPr>
          <w:rFonts w:ascii="Arial" w:hAnsi="Arial" w:cs="Arial"/>
          <w:sz w:val="20"/>
          <w:szCs w:val="20"/>
        </w:rPr>
      </w:pPr>
    </w:p>
    <w:sectPr w:rsidR="00B56F37" w:rsidRPr="00DF6394" w:rsidSect="004C7770">
      <w:headerReference w:type="default" r:id="rId8"/>
      <w:footerReference w:type="default" r:id="rId9"/>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68A9" w:rsidRDefault="00F668A9" w:rsidP="00E03D17">
      <w:r>
        <w:separator/>
      </w:r>
    </w:p>
  </w:endnote>
  <w:endnote w:type="continuationSeparator" w:id="0">
    <w:p w:rsidR="00F668A9" w:rsidRDefault="00F668A9"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1" w:author="Asif Hossain" w:date="2020-07-18T23:05:00Z"/>
  <w:sdt>
    <w:sdtPr>
      <w:id w:val="-1597238100"/>
      <w:docPartObj>
        <w:docPartGallery w:val="Page Numbers (Bottom of Page)"/>
        <w:docPartUnique/>
      </w:docPartObj>
    </w:sdtPr>
    <w:sdtEndPr/>
    <w:sdtContent>
      <w:customXmlInsRangeEnd w:id="21"/>
      <w:customXmlInsRangeStart w:id="22" w:author="Asif Hossain" w:date="2020-07-18T23:05:00Z"/>
      <w:sdt>
        <w:sdtPr>
          <w:id w:val="1728636285"/>
          <w:docPartObj>
            <w:docPartGallery w:val="Page Numbers (Top of Page)"/>
            <w:docPartUnique/>
          </w:docPartObj>
        </w:sdtPr>
        <w:sdtEndPr/>
        <w:sdtContent>
          <w:customXmlInsRangeEnd w:id="22"/>
          <w:p w:rsidR="00E634FE" w:rsidRDefault="00E634FE">
            <w:pPr>
              <w:pStyle w:val="Footer"/>
              <w:jc w:val="center"/>
              <w:rPr>
                <w:ins w:id="23" w:author="Asif Hossain" w:date="2020-07-18T23:05:00Z"/>
              </w:rPr>
            </w:pPr>
            <w:ins w:id="24" w:author="Asif Hossain" w:date="2020-07-18T23:05:00Z">
              <w:r>
                <w:t xml:space="preserve">Page </w:t>
              </w:r>
              <w:r>
                <w:rPr>
                  <w:b/>
                  <w:bCs/>
                </w:rPr>
                <w:fldChar w:fldCharType="begin"/>
              </w:r>
              <w:r>
                <w:rPr>
                  <w:b/>
                  <w:bCs/>
                </w:rPr>
                <w:instrText xml:space="preserve"> PAGE </w:instrText>
              </w:r>
              <w:r>
                <w:rPr>
                  <w:b/>
                  <w:bCs/>
                </w:rPr>
                <w:fldChar w:fldCharType="separate"/>
              </w:r>
            </w:ins>
            <w:r w:rsidR="00802A60">
              <w:rPr>
                <w:b/>
                <w:bCs/>
                <w:noProof/>
              </w:rPr>
              <w:t>1</w:t>
            </w:r>
            <w:ins w:id="25" w:author="Asif Hossain" w:date="2020-07-18T23:05:00Z">
              <w:r>
                <w:rPr>
                  <w:b/>
                  <w:bCs/>
                </w:rPr>
                <w:fldChar w:fldCharType="end"/>
              </w:r>
              <w:r>
                <w:t xml:space="preserve"> of </w:t>
              </w:r>
              <w:r>
                <w:rPr>
                  <w:b/>
                  <w:bCs/>
                </w:rPr>
                <w:fldChar w:fldCharType="begin"/>
              </w:r>
              <w:r>
                <w:rPr>
                  <w:b/>
                  <w:bCs/>
                </w:rPr>
                <w:instrText xml:space="preserve"> NUMPAGES  </w:instrText>
              </w:r>
              <w:r>
                <w:rPr>
                  <w:b/>
                  <w:bCs/>
                </w:rPr>
                <w:fldChar w:fldCharType="separate"/>
              </w:r>
            </w:ins>
            <w:r w:rsidR="00802A60">
              <w:rPr>
                <w:b/>
                <w:bCs/>
                <w:noProof/>
              </w:rPr>
              <w:t>3</w:t>
            </w:r>
            <w:ins w:id="26" w:author="Asif Hossain" w:date="2020-07-18T23:05:00Z">
              <w:r>
                <w:rPr>
                  <w:b/>
                  <w:bCs/>
                </w:rPr>
                <w:fldChar w:fldCharType="end"/>
              </w:r>
            </w:ins>
          </w:p>
          <w:customXmlInsRangeStart w:id="27" w:author="Asif Hossain" w:date="2020-07-18T23:05:00Z"/>
        </w:sdtContent>
      </w:sdt>
      <w:customXmlInsRangeEnd w:id="27"/>
      <w:customXmlInsRangeStart w:id="28" w:author="Asif Hossain" w:date="2020-07-18T23:05:00Z"/>
    </w:sdtContent>
  </w:sdt>
  <w:customXmlInsRangeEnd w:id="28"/>
  <w:p w:rsidR="00E634FE" w:rsidRDefault="00E634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68A9" w:rsidRDefault="00F668A9" w:rsidP="00E03D17">
      <w:r>
        <w:separator/>
      </w:r>
    </w:p>
  </w:footnote>
  <w:footnote w:type="continuationSeparator" w:id="0">
    <w:p w:rsidR="00F668A9" w:rsidRDefault="00F668A9"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D17" w:rsidRDefault="00E03D17" w:rsidP="00E03D17">
    <w:pPr>
      <w:pStyle w:val="Header"/>
      <w:ind w:left="3960" w:firstLine="4680"/>
    </w:pPr>
  </w:p>
  <w:p w:rsidR="00E03D17" w:rsidRDefault="00E03D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0FCB7EA2"/>
    <w:multiLevelType w:val="hybridMultilevel"/>
    <w:tmpl w:val="DC7A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6">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8">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18"/>
  </w:num>
  <w:num w:numId="3">
    <w:abstractNumId w:val="3"/>
  </w:num>
  <w:num w:numId="4">
    <w:abstractNumId w:val="19"/>
  </w:num>
  <w:num w:numId="5">
    <w:abstractNumId w:val="5"/>
  </w:num>
  <w:num w:numId="6">
    <w:abstractNumId w:val="14"/>
  </w:num>
  <w:num w:numId="7">
    <w:abstractNumId w:val="10"/>
  </w:num>
  <w:num w:numId="8">
    <w:abstractNumId w:val="20"/>
  </w:num>
  <w:num w:numId="9">
    <w:abstractNumId w:val="12"/>
  </w:num>
  <w:num w:numId="10">
    <w:abstractNumId w:val="17"/>
  </w:num>
  <w:num w:numId="11">
    <w:abstractNumId w:val="21"/>
  </w:num>
  <w:num w:numId="12">
    <w:abstractNumId w:val="7"/>
  </w:num>
  <w:num w:numId="13">
    <w:abstractNumId w:val="16"/>
  </w:num>
  <w:num w:numId="14">
    <w:abstractNumId w:val="8"/>
  </w:num>
  <w:num w:numId="15">
    <w:abstractNumId w:val="9"/>
  </w:num>
  <w:num w:numId="16">
    <w:abstractNumId w:val="22"/>
  </w:num>
  <w:num w:numId="17">
    <w:abstractNumId w:val="15"/>
  </w:num>
  <w:num w:numId="18">
    <w:abstractNumId w:val="13"/>
  </w:num>
  <w:num w:numId="19">
    <w:abstractNumId w:val="1"/>
  </w:num>
  <w:num w:numId="20">
    <w:abstractNumId w:val="0"/>
  </w:num>
  <w:num w:numId="21">
    <w:abstractNumId w:val="4"/>
  </w:num>
  <w:num w:numId="22">
    <w:abstractNumId w:val="6"/>
  </w:num>
  <w:num w:numId="2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5F51"/>
    <w:rsid w:val="00026B45"/>
    <w:rsid w:val="00031121"/>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433EE"/>
    <w:rsid w:val="00151B0C"/>
    <w:rsid w:val="0015370C"/>
    <w:rsid w:val="00156130"/>
    <w:rsid w:val="00163D92"/>
    <w:rsid w:val="00170349"/>
    <w:rsid w:val="00173CCB"/>
    <w:rsid w:val="001762FF"/>
    <w:rsid w:val="00186BA7"/>
    <w:rsid w:val="00187609"/>
    <w:rsid w:val="00191E4F"/>
    <w:rsid w:val="00193B82"/>
    <w:rsid w:val="001A09A2"/>
    <w:rsid w:val="001A12DC"/>
    <w:rsid w:val="001A1DD2"/>
    <w:rsid w:val="001B0608"/>
    <w:rsid w:val="001C2161"/>
    <w:rsid w:val="001E008B"/>
    <w:rsid w:val="001E1483"/>
    <w:rsid w:val="0020093C"/>
    <w:rsid w:val="00204F51"/>
    <w:rsid w:val="00207ACD"/>
    <w:rsid w:val="0021002E"/>
    <w:rsid w:val="00210EC7"/>
    <w:rsid w:val="002114A2"/>
    <w:rsid w:val="002145BE"/>
    <w:rsid w:val="00222E71"/>
    <w:rsid w:val="00224CAC"/>
    <w:rsid w:val="00234496"/>
    <w:rsid w:val="00253203"/>
    <w:rsid w:val="00257B5E"/>
    <w:rsid w:val="00271DE6"/>
    <w:rsid w:val="00275D52"/>
    <w:rsid w:val="00280A21"/>
    <w:rsid w:val="00283326"/>
    <w:rsid w:val="002865F5"/>
    <w:rsid w:val="00295DF5"/>
    <w:rsid w:val="002A7AD9"/>
    <w:rsid w:val="002B12B3"/>
    <w:rsid w:val="002B3DDF"/>
    <w:rsid w:val="002B4C58"/>
    <w:rsid w:val="002C1250"/>
    <w:rsid w:val="002C1372"/>
    <w:rsid w:val="002C427F"/>
    <w:rsid w:val="002D2324"/>
    <w:rsid w:val="002D455A"/>
    <w:rsid w:val="002E569D"/>
    <w:rsid w:val="002F1DE4"/>
    <w:rsid w:val="002F51BA"/>
    <w:rsid w:val="002F7CC6"/>
    <w:rsid w:val="0030020E"/>
    <w:rsid w:val="00314A03"/>
    <w:rsid w:val="00321AF8"/>
    <w:rsid w:val="00322F2E"/>
    <w:rsid w:val="00323AAA"/>
    <w:rsid w:val="00346820"/>
    <w:rsid w:val="00351103"/>
    <w:rsid w:val="00355011"/>
    <w:rsid w:val="00355EE3"/>
    <w:rsid w:val="0036775D"/>
    <w:rsid w:val="00367BFB"/>
    <w:rsid w:val="00373AF2"/>
    <w:rsid w:val="0038180A"/>
    <w:rsid w:val="00384F43"/>
    <w:rsid w:val="003871B1"/>
    <w:rsid w:val="00390D7C"/>
    <w:rsid w:val="0039357D"/>
    <w:rsid w:val="00397154"/>
    <w:rsid w:val="003A729A"/>
    <w:rsid w:val="003A7A39"/>
    <w:rsid w:val="003B6F82"/>
    <w:rsid w:val="003C462D"/>
    <w:rsid w:val="003D0C6A"/>
    <w:rsid w:val="003D0EC9"/>
    <w:rsid w:val="003D19A9"/>
    <w:rsid w:val="003E16B4"/>
    <w:rsid w:val="003E720D"/>
    <w:rsid w:val="003F4D6A"/>
    <w:rsid w:val="003F6000"/>
    <w:rsid w:val="00400511"/>
    <w:rsid w:val="004020D5"/>
    <w:rsid w:val="004028BA"/>
    <w:rsid w:val="00402984"/>
    <w:rsid w:val="00403C51"/>
    <w:rsid w:val="00412F5F"/>
    <w:rsid w:val="0041485B"/>
    <w:rsid w:val="004260B7"/>
    <w:rsid w:val="0042659B"/>
    <w:rsid w:val="00426939"/>
    <w:rsid w:val="00433645"/>
    <w:rsid w:val="004340A6"/>
    <w:rsid w:val="00437EC3"/>
    <w:rsid w:val="00440B2D"/>
    <w:rsid w:val="00475691"/>
    <w:rsid w:val="004865CF"/>
    <w:rsid w:val="0049347A"/>
    <w:rsid w:val="00494EBF"/>
    <w:rsid w:val="0049589E"/>
    <w:rsid w:val="00497250"/>
    <w:rsid w:val="004979E6"/>
    <w:rsid w:val="004A584C"/>
    <w:rsid w:val="004C7770"/>
    <w:rsid w:val="004D213E"/>
    <w:rsid w:val="004D2403"/>
    <w:rsid w:val="004D251D"/>
    <w:rsid w:val="004D4FB0"/>
    <w:rsid w:val="004E590C"/>
    <w:rsid w:val="004E603B"/>
    <w:rsid w:val="004F36AE"/>
    <w:rsid w:val="004F51B9"/>
    <w:rsid w:val="004F566B"/>
    <w:rsid w:val="00501902"/>
    <w:rsid w:val="0050389E"/>
    <w:rsid w:val="00504677"/>
    <w:rsid w:val="00505613"/>
    <w:rsid w:val="005119DE"/>
    <w:rsid w:val="00515176"/>
    <w:rsid w:val="00516303"/>
    <w:rsid w:val="00520BD2"/>
    <w:rsid w:val="005243E4"/>
    <w:rsid w:val="00525CB7"/>
    <w:rsid w:val="00530A0B"/>
    <w:rsid w:val="00535E9A"/>
    <w:rsid w:val="00544908"/>
    <w:rsid w:val="00544967"/>
    <w:rsid w:val="00547B49"/>
    <w:rsid w:val="00552512"/>
    <w:rsid w:val="005570E2"/>
    <w:rsid w:val="00562391"/>
    <w:rsid w:val="00566588"/>
    <w:rsid w:val="005672F6"/>
    <w:rsid w:val="00571C76"/>
    <w:rsid w:val="005732BB"/>
    <w:rsid w:val="00574CF9"/>
    <w:rsid w:val="00575B3B"/>
    <w:rsid w:val="00576A7F"/>
    <w:rsid w:val="00580DB4"/>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5857"/>
    <w:rsid w:val="0060644F"/>
    <w:rsid w:val="006135D7"/>
    <w:rsid w:val="00616C92"/>
    <w:rsid w:val="00621173"/>
    <w:rsid w:val="00624D6F"/>
    <w:rsid w:val="006255BE"/>
    <w:rsid w:val="00625688"/>
    <w:rsid w:val="006308D1"/>
    <w:rsid w:val="00631B2F"/>
    <w:rsid w:val="00634018"/>
    <w:rsid w:val="0063551F"/>
    <w:rsid w:val="0064799F"/>
    <w:rsid w:val="0066025F"/>
    <w:rsid w:val="00661DFF"/>
    <w:rsid w:val="00664E29"/>
    <w:rsid w:val="006650B9"/>
    <w:rsid w:val="0066714E"/>
    <w:rsid w:val="006705E3"/>
    <w:rsid w:val="00671950"/>
    <w:rsid w:val="00675AF3"/>
    <w:rsid w:val="00677F72"/>
    <w:rsid w:val="006802C0"/>
    <w:rsid w:val="00683323"/>
    <w:rsid w:val="00686448"/>
    <w:rsid w:val="00691F15"/>
    <w:rsid w:val="006962B3"/>
    <w:rsid w:val="006A4BF2"/>
    <w:rsid w:val="006B04F3"/>
    <w:rsid w:val="006B167A"/>
    <w:rsid w:val="006B7CE5"/>
    <w:rsid w:val="006C649A"/>
    <w:rsid w:val="006D5116"/>
    <w:rsid w:val="006D5424"/>
    <w:rsid w:val="006D569F"/>
    <w:rsid w:val="006E416F"/>
    <w:rsid w:val="006E7705"/>
    <w:rsid w:val="006E771A"/>
    <w:rsid w:val="007019B2"/>
    <w:rsid w:val="0070750D"/>
    <w:rsid w:val="007113ED"/>
    <w:rsid w:val="007116E5"/>
    <w:rsid w:val="007162C5"/>
    <w:rsid w:val="0071718E"/>
    <w:rsid w:val="00717729"/>
    <w:rsid w:val="0072195D"/>
    <w:rsid w:val="00722323"/>
    <w:rsid w:val="00731627"/>
    <w:rsid w:val="00733139"/>
    <w:rsid w:val="00734400"/>
    <w:rsid w:val="00734950"/>
    <w:rsid w:val="0074460C"/>
    <w:rsid w:val="007829B6"/>
    <w:rsid w:val="00785825"/>
    <w:rsid w:val="0079542F"/>
    <w:rsid w:val="007965D4"/>
    <w:rsid w:val="007A0455"/>
    <w:rsid w:val="007A22BC"/>
    <w:rsid w:val="007B21C0"/>
    <w:rsid w:val="007D2243"/>
    <w:rsid w:val="007D2E00"/>
    <w:rsid w:val="007D34DD"/>
    <w:rsid w:val="007D3A0D"/>
    <w:rsid w:val="007D6318"/>
    <w:rsid w:val="007D6D6B"/>
    <w:rsid w:val="007F7A5C"/>
    <w:rsid w:val="00802A60"/>
    <w:rsid w:val="00805C46"/>
    <w:rsid w:val="0081087E"/>
    <w:rsid w:val="00814F25"/>
    <w:rsid w:val="008255E7"/>
    <w:rsid w:val="008267DC"/>
    <w:rsid w:val="00832BBC"/>
    <w:rsid w:val="00833C19"/>
    <w:rsid w:val="00834F0A"/>
    <w:rsid w:val="00835CB2"/>
    <w:rsid w:val="00840FAA"/>
    <w:rsid w:val="008433BC"/>
    <w:rsid w:val="00851A2F"/>
    <w:rsid w:val="00851E12"/>
    <w:rsid w:val="008548B5"/>
    <w:rsid w:val="00856539"/>
    <w:rsid w:val="008674F6"/>
    <w:rsid w:val="0087311B"/>
    <w:rsid w:val="00873701"/>
    <w:rsid w:val="00880844"/>
    <w:rsid w:val="00881434"/>
    <w:rsid w:val="0088365E"/>
    <w:rsid w:val="00886737"/>
    <w:rsid w:val="00897EED"/>
    <w:rsid w:val="008A4B24"/>
    <w:rsid w:val="008A4D96"/>
    <w:rsid w:val="008A4F72"/>
    <w:rsid w:val="008B23B5"/>
    <w:rsid w:val="008B573D"/>
    <w:rsid w:val="008C4817"/>
    <w:rsid w:val="008D2942"/>
    <w:rsid w:val="008D2D2E"/>
    <w:rsid w:val="008D6831"/>
    <w:rsid w:val="008D72D4"/>
    <w:rsid w:val="008E3252"/>
    <w:rsid w:val="008E36A5"/>
    <w:rsid w:val="008E3B64"/>
    <w:rsid w:val="008E3E51"/>
    <w:rsid w:val="008E79FF"/>
    <w:rsid w:val="008F1822"/>
    <w:rsid w:val="008F3D9A"/>
    <w:rsid w:val="008F57DD"/>
    <w:rsid w:val="00902A16"/>
    <w:rsid w:val="00902B64"/>
    <w:rsid w:val="00904377"/>
    <w:rsid w:val="00904C34"/>
    <w:rsid w:val="009174CB"/>
    <w:rsid w:val="00917FE2"/>
    <w:rsid w:val="00932313"/>
    <w:rsid w:val="00934A85"/>
    <w:rsid w:val="00935AA4"/>
    <w:rsid w:val="00936767"/>
    <w:rsid w:val="009378E7"/>
    <w:rsid w:val="00941965"/>
    <w:rsid w:val="00946053"/>
    <w:rsid w:val="009509AD"/>
    <w:rsid w:val="009511A9"/>
    <w:rsid w:val="00955EF3"/>
    <w:rsid w:val="00956CC8"/>
    <w:rsid w:val="0095748D"/>
    <w:rsid w:val="009627C6"/>
    <w:rsid w:val="00966E6E"/>
    <w:rsid w:val="00977ABD"/>
    <w:rsid w:val="0098235B"/>
    <w:rsid w:val="0098461D"/>
    <w:rsid w:val="009976D3"/>
    <w:rsid w:val="009A4F1D"/>
    <w:rsid w:val="009A5E64"/>
    <w:rsid w:val="009B257F"/>
    <w:rsid w:val="009B787C"/>
    <w:rsid w:val="009C5DB1"/>
    <w:rsid w:val="009D2806"/>
    <w:rsid w:val="009E1C36"/>
    <w:rsid w:val="009E359B"/>
    <w:rsid w:val="009F13F5"/>
    <w:rsid w:val="009F277D"/>
    <w:rsid w:val="009F4DF2"/>
    <w:rsid w:val="00A063BD"/>
    <w:rsid w:val="00A15CC7"/>
    <w:rsid w:val="00A216C6"/>
    <w:rsid w:val="00A2238E"/>
    <w:rsid w:val="00A2423D"/>
    <w:rsid w:val="00A261E0"/>
    <w:rsid w:val="00A27BA4"/>
    <w:rsid w:val="00A27E0C"/>
    <w:rsid w:val="00A40EC6"/>
    <w:rsid w:val="00A55AFB"/>
    <w:rsid w:val="00A6008D"/>
    <w:rsid w:val="00A61EDC"/>
    <w:rsid w:val="00A63DC5"/>
    <w:rsid w:val="00A66D61"/>
    <w:rsid w:val="00A74D71"/>
    <w:rsid w:val="00A851F1"/>
    <w:rsid w:val="00A92503"/>
    <w:rsid w:val="00AA6475"/>
    <w:rsid w:val="00AB06A9"/>
    <w:rsid w:val="00AB10F1"/>
    <w:rsid w:val="00AB1185"/>
    <w:rsid w:val="00AB1224"/>
    <w:rsid w:val="00AC25B1"/>
    <w:rsid w:val="00AC7209"/>
    <w:rsid w:val="00AD4D57"/>
    <w:rsid w:val="00AD7335"/>
    <w:rsid w:val="00AE610A"/>
    <w:rsid w:val="00AF488D"/>
    <w:rsid w:val="00B03235"/>
    <w:rsid w:val="00B1003E"/>
    <w:rsid w:val="00B10FA7"/>
    <w:rsid w:val="00B110E4"/>
    <w:rsid w:val="00B22A51"/>
    <w:rsid w:val="00B25093"/>
    <w:rsid w:val="00B5295F"/>
    <w:rsid w:val="00B54E5A"/>
    <w:rsid w:val="00B5627A"/>
    <w:rsid w:val="00B56BD5"/>
    <w:rsid w:val="00B56F37"/>
    <w:rsid w:val="00B633E8"/>
    <w:rsid w:val="00B65BD5"/>
    <w:rsid w:val="00B6685B"/>
    <w:rsid w:val="00B9101B"/>
    <w:rsid w:val="00B917F0"/>
    <w:rsid w:val="00B944A9"/>
    <w:rsid w:val="00B96C0D"/>
    <w:rsid w:val="00BA097D"/>
    <w:rsid w:val="00BA36E7"/>
    <w:rsid w:val="00BA4500"/>
    <w:rsid w:val="00BA5F3C"/>
    <w:rsid w:val="00BB189B"/>
    <w:rsid w:val="00BC3544"/>
    <w:rsid w:val="00BC50E4"/>
    <w:rsid w:val="00BC64D2"/>
    <w:rsid w:val="00BD231E"/>
    <w:rsid w:val="00BD372A"/>
    <w:rsid w:val="00BD739A"/>
    <w:rsid w:val="00BE4685"/>
    <w:rsid w:val="00BE786F"/>
    <w:rsid w:val="00C03767"/>
    <w:rsid w:val="00C21465"/>
    <w:rsid w:val="00C215B8"/>
    <w:rsid w:val="00C23A70"/>
    <w:rsid w:val="00C24C05"/>
    <w:rsid w:val="00C322AE"/>
    <w:rsid w:val="00C36772"/>
    <w:rsid w:val="00C415D0"/>
    <w:rsid w:val="00C50D9A"/>
    <w:rsid w:val="00C523C1"/>
    <w:rsid w:val="00C5561D"/>
    <w:rsid w:val="00C56AC7"/>
    <w:rsid w:val="00C624F3"/>
    <w:rsid w:val="00C660A9"/>
    <w:rsid w:val="00C80DCF"/>
    <w:rsid w:val="00C81BE8"/>
    <w:rsid w:val="00C8320D"/>
    <w:rsid w:val="00C91F20"/>
    <w:rsid w:val="00C9204F"/>
    <w:rsid w:val="00C937B2"/>
    <w:rsid w:val="00C951BD"/>
    <w:rsid w:val="00C9619F"/>
    <w:rsid w:val="00CA0282"/>
    <w:rsid w:val="00CB06AB"/>
    <w:rsid w:val="00CB51DD"/>
    <w:rsid w:val="00CB53BA"/>
    <w:rsid w:val="00CB740F"/>
    <w:rsid w:val="00CC5AE5"/>
    <w:rsid w:val="00CD7535"/>
    <w:rsid w:val="00CE1D8D"/>
    <w:rsid w:val="00CE4E35"/>
    <w:rsid w:val="00CF4C54"/>
    <w:rsid w:val="00D007B6"/>
    <w:rsid w:val="00D13E08"/>
    <w:rsid w:val="00D16EE7"/>
    <w:rsid w:val="00D24820"/>
    <w:rsid w:val="00D25923"/>
    <w:rsid w:val="00D309A6"/>
    <w:rsid w:val="00D33829"/>
    <w:rsid w:val="00D36303"/>
    <w:rsid w:val="00D373B1"/>
    <w:rsid w:val="00D42926"/>
    <w:rsid w:val="00D43BD4"/>
    <w:rsid w:val="00D74A54"/>
    <w:rsid w:val="00D74BF0"/>
    <w:rsid w:val="00D839F8"/>
    <w:rsid w:val="00D8672F"/>
    <w:rsid w:val="00D87573"/>
    <w:rsid w:val="00D87EE6"/>
    <w:rsid w:val="00DA579A"/>
    <w:rsid w:val="00DB241D"/>
    <w:rsid w:val="00DB5BDF"/>
    <w:rsid w:val="00DC4E07"/>
    <w:rsid w:val="00DD0D6F"/>
    <w:rsid w:val="00DD0EE3"/>
    <w:rsid w:val="00DD75CC"/>
    <w:rsid w:val="00DE1E5C"/>
    <w:rsid w:val="00DE648D"/>
    <w:rsid w:val="00DE6BAF"/>
    <w:rsid w:val="00DE7A21"/>
    <w:rsid w:val="00DF6394"/>
    <w:rsid w:val="00E020C1"/>
    <w:rsid w:val="00E03D17"/>
    <w:rsid w:val="00E102AE"/>
    <w:rsid w:val="00E149DF"/>
    <w:rsid w:val="00E17C0E"/>
    <w:rsid w:val="00E210BB"/>
    <w:rsid w:val="00E229AA"/>
    <w:rsid w:val="00E35E1E"/>
    <w:rsid w:val="00E43F00"/>
    <w:rsid w:val="00E44037"/>
    <w:rsid w:val="00E4429C"/>
    <w:rsid w:val="00E61429"/>
    <w:rsid w:val="00E634FE"/>
    <w:rsid w:val="00E67F6B"/>
    <w:rsid w:val="00E759F3"/>
    <w:rsid w:val="00E75E70"/>
    <w:rsid w:val="00E83292"/>
    <w:rsid w:val="00E85AC3"/>
    <w:rsid w:val="00E86555"/>
    <w:rsid w:val="00E906C3"/>
    <w:rsid w:val="00EA184E"/>
    <w:rsid w:val="00EB0011"/>
    <w:rsid w:val="00EB0F91"/>
    <w:rsid w:val="00EB148C"/>
    <w:rsid w:val="00EB2DA1"/>
    <w:rsid w:val="00EB4B2D"/>
    <w:rsid w:val="00EB5042"/>
    <w:rsid w:val="00EC0100"/>
    <w:rsid w:val="00EC06D1"/>
    <w:rsid w:val="00EC1A5E"/>
    <w:rsid w:val="00EE3539"/>
    <w:rsid w:val="00EE5D24"/>
    <w:rsid w:val="00EE66E3"/>
    <w:rsid w:val="00EE76EE"/>
    <w:rsid w:val="00EF05DF"/>
    <w:rsid w:val="00EF1B0C"/>
    <w:rsid w:val="00EF309F"/>
    <w:rsid w:val="00EF5259"/>
    <w:rsid w:val="00F01148"/>
    <w:rsid w:val="00F0468E"/>
    <w:rsid w:val="00F05E7A"/>
    <w:rsid w:val="00F07591"/>
    <w:rsid w:val="00F262F3"/>
    <w:rsid w:val="00F27607"/>
    <w:rsid w:val="00F276A6"/>
    <w:rsid w:val="00F368E8"/>
    <w:rsid w:val="00F510FE"/>
    <w:rsid w:val="00F62EB6"/>
    <w:rsid w:val="00F668A9"/>
    <w:rsid w:val="00F71900"/>
    <w:rsid w:val="00F73957"/>
    <w:rsid w:val="00F776AF"/>
    <w:rsid w:val="00F85D42"/>
    <w:rsid w:val="00F91ADB"/>
    <w:rsid w:val="00F932B5"/>
    <w:rsid w:val="00F950CB"/>
    <w:rsid w:val="00FA0810"/>
    <w:rsid w:val="00FA3A9B"/>
    <w:rsid w:val="00FB02CC"/>
    <w:rsid w:val="00FB2C3C"/>
    <w:rsid w:val="00FB41A7"/>
    <w:rsid w:val="00FB5C33"/>
    <w:rsid w:val="00FC0CA0"/>
    <w:rsid w:val="00FC0E7F"/>
    <w:rsid w:val="00FC35F4"/>
    <w:rsid w:val="00FC58CD"/>
    <w:rsid w:val="00FD351D"/>
    <w:rsid w:val="00FD4417"/>
    <w:rsid w:val="00FD6A51"/>
    <w:rsid w:val="00FE67A7"/>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0FC0F5-2CE0-4E23-898A-EE511850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29633271">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786580981">
      <w:bodyDiv w:val="1"/>
      <w:marLeft w:val="0"/>
      <w:marRight w:val="0"/>
      <w:marTop w:val="0"/>
      <w:marBottom w:val="0"/>
      <w:divBdr>
        <w:top w:val="none" w:sz="0" w:space="0" w:color="auto"/>
        <w:left w:val="none" w:sz="0" w:space="0" w:color="auto"/>
        <w:bottom w:val="none" w:sz="0" w:space="0" w:color="auto"/>
        <w:right w:val="none" w:sz="0" w:space="0" w:color="auto"/>
      </w:divBdr>
    </w:div>
    <w:div w:id="1797680167">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10653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038D2-A55B-4342-9BD1-410D70967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1397</TotalTime>
  <Pages>1</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3204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487</cp:revision>
  <cp:lastPrinted>2020-07-20T13:27:00Z</cp:lastPrinted>
  <dcterms:created xsi:type="dcterms:W3CDTF">2016-05-24T07:13:00Z</dcterms:created>
  <dcterms:modified xsi:type="dcterms:W3CDTF">2020-07-20T13:27:00Z</dcterms:modified>
</cp:coreProperties>
</file>