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9E65F5" w14:textId="77777777" w:rsidR="009A26DF" w:rsidRDefault="009A26DF"/>
    <w:p w14:paraId="5BBA3D92" w14:textId="77777777" w:rsidR="00B96C89" w:rsidRDefault="00B96C89">
      <w:commentRangeStart w:id="0"/>
      <w:r>
        <w:t>Checking the opening balance</w:t>
      </w:r>
      <w:commentRangeEnd w:id="0"/>
      <w:r w:rsidR="00F70058">
        <w:rPr>
          <w:rStyle w:val="CommentReference"/>
        </w:rPr>
        <w:commentReference w:id="0"/>
      </w:r>
    </w:p>
    <w:tbl>
      <w:tblPr>
        <w:tblStyle w:val="TableGrid"/>
        <w:tblW w:w="0" w:type="auto"/>
        <w:tblLook w:val="04A0" w:firstRow="1" w:lastRow="0" w:firstColumn="1" w:lastColumn="0" w:noHBand="0" w:noVBand="1"/>
      </w:tblPr>
      <w:tblGrid>
        <w:gridCol w:w="4438"/>
        <w:gridCol w:w="1673"/>
        <w:gridCol w:w="1712"/>
        <w:gridCol w:w="1527"/>
      </w:tblGrid>
      <w:tr w:rsidR="004B42DA" w14:paraId="61120402" w14:textId="1E3AE320" w:rsidTr="001C0A70">
        <w:tc>
          <w:tcPr>
            <w:tcW w:w="4438" w:type="dxa"/>
          </w:tcPr>
          <w:p w14:paraId="12D8F484" w14:textId="77777777" w:rsidR="004B42DA" w:rsidRDefault="004B42DA">
            <w:r>
              <w:t>Particulars</w:t>
            </w:r>
          </w:p>
        </w:tc>
        <w:tc>
          <w:tcPr>
            <w:tcW w:w="1673" w:type="dxa"/>
          </w:tcPr>
          <w:p w14:paraId="282923B4" w14:textId="77777777" w:rsidR="004B42DA" w:rsidRPr="00FE19EA" w:rsidRDefault="004B42DA">
            <w:pPr>
              <w:rPr>
                <w:b/>
              </w:rPr>
            </w:pPr>
            <w:commentRangeStart w:id="1"/>
            <w:r w:rsidRPr="00FE19EA">
              <w:rPr>
                <w:b/>
              </w:rPr>
              <w:t xml:space="preserve">Advance VAT </w:t>
            </w:r>
          </w:p>
        </w:tc>
        <w:tc>
          <w:tcPr>
            <w:tcW w:w="1712" w:type="dxa"/>
          </w:tcPr>
          <w:p w14:paraId="4D4B6943" w14:textId="77777777" w:rsidR="004B42DA" w:rsidRPr="00FE19EA" w:rsidRDefault="004B42DA">
            <w:pPr>
              <w:rPr>
                <w:b/>
              </w:rPr>
            </w:pPr>
            <w:r w:rsidRPr="00FE19EA">
              <w:rPr>
                <w:b/>
              </w:rPr>
              <w:t>VDS payable</w:t>
            </w:r>
            <w:commentRangeEnd w:id="1"/>
            <w:r>
              <w:rPr>
                <w:rStyle w:val="CommentReference"/>
              </w:rPr>
              <w:commentReference w:id="1"/>
            </w:r>
          </w:p>
        </w:tc>
        <w:tc>
          <w:tcPr>
            <w:tcW w:w="1527" w:type="dxa"/>
          </w:tcPr>
          <w:p w14:paraId="54280709" w14:textId="77777777" w:rsidR="004B42DA" w:rsidRPr="00FE19EA" w:rsidRDefault="004B42DA">
            <w:pPr>
              <w:rPr>
                <w:b/>
              </w:rPr>
            </w:pPr>
          </w:p>
        </w:tc>
      </w:tr>
      <w:tr w:rsidR="004B42DA" w14:paraId="652542CA" w14:textId="1EA2B7E4" w:rsidTr="00D16F4A">
        <w:tc>
          <w:tcPr>
            <w:tcW w:w="4438" w:type="dxa"/>
          </w:tcPr>
          <w:p w14:paraId="0B30A44F" w14:textId="77777777" w:rsidR="004B42DA" w:rsidRDefault="004B42DA">
            <w:r>
              <w:t>Opening balance as per last audited accounts</w:t>
            </w:r>
          </w:p>
        </w:tc>
        <w:tc>
          <w:tcPr>
            <w:tcW w:w="1673" w:type="dxa"/>
          </w:tcPr>
          <w:p w14:paraId="641C2D89" w14:textId="77777777" w:rsidR="004B42DA" w:rsidRDefault="004B42DA">
            <w:r>
              <w:t>57,055,444</w:t>
            </w:r>
          </w:p>
        </w:tc>
        <w:tc>
          <w:tcPr>
            <w:tcW w:w="1712" w:type="dxa"/>
          </w:tcPr>
          <w:p w14:paraId="280BBB82" w14:textId="77777777" w:rsidR="004B42DA" w:rsidRDefault="004B42DA">
            <w:r>
              <w:t>2,823,568</w:t>
            </w:r>
          </w:p>
        </w:tc>
        <w:tc>
          <w:tcPr>
            <w:tcW w:w="1527" w:type="dxa"/>
            <w:vMerge w:val="restart"/>
          </w:tcPr>
          <w:p w14:paraId="63757493" w14:textId="7DEA3656" w:rsidR="004B42DA" w:rsidRDefault="004B42DA">
            <w:r>
              <w:t xml:space="preserve">Please see the referenced TB G for advance VAT and </w:t>
            </w:r>
            <w:r w:rsidR="0054003D">
              <w:t>L for VDS payable and notes to the FS 12 and 22</w:t>
            </w:r>
          </w:p>
        </w:tc>
      </w:tr>
      <w:tr w:rsidR="004B42DA" w14:paraId="64156A4D" w14:textId="2C0627EF" w:rsidTr="00D16F4A">
        <w:tc>
          <w:tcPr>
            <w:tcW w:w="4438" w:type="dxa"/>
          </w:tcPr>
          <w:p w14:paraId="6180340B" w14:textId="5862B803" w:rsidR="004B42DA" w:rsidRDefault="004B42DA">
            <w:r>
              <w:t>Add: VAT Paid/ deducted at source during the year</w:t>
            </w:r>
          </w:p>
        </w:tc>
        <w:tc>
          <w:tcPr>
            <w:tcW w:w="1673" w:type="dxa"/>
          </w:tcPr>
          <w:p w14:paraId="0E598315" w14:textId="77777777" w:rsidR="004B42DA" w:rsidRDefault="004B42DA">
            <w:r>
              <w:t>1,337,787,108</w:t>
            </w:r>
          </w:p>
        </w:tc>
        <w:tc>
          <w:tcPr>
            <w:tcW w:w="1712" w:type="dxa"/>
          </w:tcPr>
          <w:p w14:paraId="1B06847D" w14:textId="77777777" w:rsidR="004B42DA" w:rsidRDefault="004B42DA">
            <w:r>
              <w:t>34,890,270</w:t>
            </w:r>
          </w:p>
        </w:tc>
        <w:tc>
          <w:tcPr>
            <w:tcW w:w="1527" w:type="dxa"/>
            <w:vMerge/>
          </w:tcPr>
          <w:p w14:paraId="0336D152" w14:textId="77777777" w:rsidR="004B42DA" w:rsidRDefault="004B42DA"/>
        </w:tc>
      </w:tr>
      <w:tr w:rsidR="004B42DA" w14:paraId="16A6A88E" w14:textId="6908F3EE" w:rsidTr="00D16F4A">
        <w:tc>
          <w:tcPr>
            <w:tcW w:w="4438" w:type="dxa"/>
          </w:tcPr>
          <w:p w14:paraId="249C0356" w14:textId="77777777" w:rsidR="004B42DA" w:rsidRDefault="004B42DA"/>
        </w:tc>
        <w:tc>
          <w:tcPr>
            <w:tcW w:w="1673" w:type="dxa"/>
          </w:tcPr>
          <w:p w14:paraId="1038BB48" w14:textId="77777777" w:rsidR="004B42DA" w:rsidRDefault="004B42DA">
            <w:r>
              <w:t>1,394,842,552</w:t>
            </w:r>
          </w:p>
        </w:tc>
        <w:tc>
          <w:tcPr>
            <w:tcW w:w="1712" w:type="dxa"/>
          </w:tcPr>
          <w:p w14:paraId="6B75861B" w14:textId="77777777" w:rsidR="004B42DA" w:rsidRDefault="004B42DA">
            <w:r>
              <w:t>37,713,838</w:t>
            </w:r>
          </w:p>
        </w:tc>
        <w:tc>
          <w:tcPr>
            <w:tcW w:w="1527" w:type="dxa"/>
            <w:vMerge/>
          </w:tcPr>
          <w:p w14:paraId="1782D3B2" w14:textId="77777777" w:rsidR="004B42DA" w:rsidRDefault="004B42DA"/>
        </w:tc>
      </w:tr>
      <w:tr w:rsidR="004B42DA" w14:paraId="3B5DFB94" w14:textId="1100232B" w:rsidTr="00D16F4A">
        <w:trPr>
          <w:trHeight w:val="341"/>
        </w:trPr>
        <w:tc>
          <w:tcPr>
            <w:tcW w:w="4438" w:type="dxa"/>
          </w:tcPr>
          <w:p w14:paraId="129D150C" w14:textId="77777777" w:rsidR="004B42DA" w:rsidRDefault="004B42DA">
            <w:r>
              <w:t>Less: Adjusted/ paid during the year</w:t>
            </w:r>
          </w:p>
        </w:tc>
        <w:tc>
          <w:tcPr>
            <w:tcW w:w="1673" w:type="dxa"/>
          </w:tcPr>
          <w:p w14:paraId="2F3D2F73" w14:textId="77777777" w:rsidR="004B42DA" w:rsidRDefault="004B42DA">
            <w:r w:rsidRPr="00BD231E">
              <w:rPr>
                <w:rFonts w:ascii="Arial" w:hAnsi="Arial" w:cs="Arial"/>
                <w:bCs/>
                <w:color w:val="000000"/>
                <w:sz w:val="20"/>
                <w:szCs w:val="20"/>
              </w:rPr>
              <w:t>1,359,935,286</w:t>
            </w:r>
          </w:p>
        </w:tc>
        <w:tc>
          <w:tcPr>
            <w:tcW w:w="1712" w:type="dxa"/>
          </w:tcPr>
          <w:p w14:paraId="59520A32" w14:textId="77777777" w:rsidR="004B42DA" w:rsidRDefault="004B42DA">
            <w:r>
              <w:t>34,587,963</w:t>
            </w:r>
          </w:p>
        </w:tc>
        <w:tc>
          <w:tcPr>
            <w:tcW w:w="1527" w:type="dxa"/>
            <w:vMerge/>
          </w:tcPr>
          <w:p w14:paraId="4D51D162" w14:textId="77777777" w:rsidR="004B42DA" w:rsidRDefault="004B42DA"/>
        </w:tc>
      </w:tr>
      <w:tr w:rsidR="004B42DA" w14:paraId="4B757B56" w14:textId="56DA6F3F" w:rsidTr="001C0A70">
        <w:tc>
          <w:tcPr>
            <w:tcW w:w="4438" w:type="dxa"/>
          </w:tcPr>
          <w:p w14:paraId="1F892752" w14:textId="3F46D61E" w:rsidR="004B42DA" w:rsidRDefault="004B42DA">
            <w:r>
              <w:t>Balance as on 31 December 2014</w:t>
            </w:r>
          </w:p>
        </w:tc>
        <w:tc>
          <w:tcPr>
            <w:tcW w:w="1673" w:type="dxa"/>
          </w:tcPr>
          <w:p w14:paraId="6BB6445C" w14:textId="77777777" w:rsidR="004B42DA" w:rsidRDefault="004B42DA">
            <w:r>
              <w:t>34,907,266</w:t>
            </w:r>
          </w:p>
        </w:tc>
        <w:tc>
          <w:tcPr>
            <w:tcW w:w="1712" w:type="dxa"/>
          </w:tcPr>
          <w:p w14:paraId="4A6979E1" w14:textId="77777777" w:rsidR="004B42DA" w:rsidRDefault="004B42DA">
            <w:r>
              <w:t>3,125,875</w:t>
            </w:r>
          </w:p>
        </w:tc>
        <w:tc>
          <w:tcPr>
            <w:tcW w:w="1527" w:type="dxa"/>
          </w:tcPr>
          <w:p w14:paraId="14EAAB24" w14:textId="77777777" w:rsidR="004B42DA" w:rsidRDefault="004B42DA"/>
        </w:tc>
      </w:tr>
    </w:tbl>
    <w:p w14:paraId="750980D5" w14:textId="77777777" w:rsidR="00B96C89" w:rsidRDefault="00B96C89"/>
    <w:p w14:paraId="08A06F7B" w14:textId="77777777" w:rsidR="00911D68" w:rsidRDefault="00911D68">
      <w:commentRangeStart w:id="2"/>
      <w:r>
        <w:t>We have checked and confirmed the opining balance of Advance payment of VAT as per VAT current account and VDS payable with last years audited accounts and GL and found in order.</w:t>
      </w:r>
      <w:commentRangeEnd w:id="2"/>
      <w:r w:rsidR="006B7F13">
        <w:rPr>
          <w:rStyle w:val="CommentReference"/>
        </w:rPr>
        <w:commentReference w:id="2"/>
      </w:r>
    </w:p>
    <w:p w14:paraId="0DE17E27" w14:textId="4EB9F424" w:rsidR="00911D68" w:rsidRPr="00911D68" w:rsidRDefault="00911D68">
      <w:pPr>
        <w:rPr>
          <w:b/>
        </w:rPr>
      </w:pPr>
      <w:r w:rsidRPr="00911D68">
        <w:rPr>
          <w:b/>
        </w:rPr>
        <w:t>Review large and unusual journal entries:</w:t>
      </w:r>
      <w:r w:rsidR="00C10AB3">
        <w:rPr>
          <w:rStyle w:val="FootnoteReference"/>
          <w:b/>
        </w:rPr>
        <w:footnoteReference w:id="1"/>
      </w:r>
    </w:p>
    <w:p w14:paraId="1EB1680D" w14:textId="77777777" w:rsidR="00911D68" w:rsidRDefault="00911D68">
      <w:r>
        <w:t xml:space="preserve">We have reviewed the GL of VAT current account and VDS account and we do not found any unusual and large material journal entries. We also check the approval process of journal entries and found satisfactory. </w:t>
      </w:r>
    </w:p>
    <w:p w14:paraId="16F171F3" w14:textId="77777777" w:rsidR="003F7EC2" w:rsidRPr="009B70DE" w:rsidRDefault="003F7EC2">
      <w:pPr>
        <w:rPr>
          <w:b/>
        </w:rPr>
      </w:pPr>
      <w:r w:rsidRPr="009B70DE">
        <w:rPr>
          <w:b/>
        </w:rPr>
        <w:t>Review of Clients VAT affairs:</w:t>
      </w:r>
    </w:p>
    <w:p w14:paraId="47AD25BC" w14:textId="5E3A3663" w:rsidR="003F7EC2" w:rsidRDefault="003F7EC2">
      <w:r>
        <w:t>We have review</w:t>
      </w:r>
      <w:r w:rsidR="00C74431">
        <w:t>ed</w:t>
      </w:r>
      <w:r>
        <w:t xml:space="preserve"> the Client</w:t>
      </w:r>
      <w:r w:rsidR="00C74431">
        <w:t>’</w:t>
      </w:r>
      <w:r>
        <w:t xml:space="preserve">s correspondence with VAT authority and found that </w:t>
      </w:r>
      <w:commentRangeStart w:id="4"/>
      <w:r>
        <w:t xml:space="preserve">there is litigation </w:t>
      </w:r>
      <w:commentRangeEnd w:id="4"/>
      <w:r w:rsidR="00C74431">
        <w:rPr>
          <w:rStyle w:val="CommentReference"/>
        </w:rPr>
        <w:commentReference w:id="4"/>
      </w:r>
      <w:r>
        <w:t>against the company for</w:t>
      </w:r>
      <w:r w:rsidR="009B70DE">
        <w:t xml:space="preserve"> non-submission of necessary documents regarding the input </w:t>
      </w:r>
      <w:r w:rsidR="00C74431">
        <w:t>VAT</w:t>
      </w:r>
      <w:r w:rsidR="009B70DE">
        <w:t xml:space="preserve"> rebate. The company</w:t>
      </w:r>
      <w:r>
        <w:t xml:space="preserve"> defend against the order</w:t>
      </w:r>
      <w:r w:rsidR="00FE19EA">
        <w:t xml:space="preserve"> of Customs excise and VAT authority</w:t>
      </w:r>
      <w:r>
        <w:t xml:space="preserve">. The management and VAT consultant </w:t>
      </w:r>
      <w:r w:rsidR="009B70DE">
        <w:t xml:space="preserve">assure us in writing that the </w:t>
      </w:r>
      <w:r w:rsidR="00FE19EA">
        <w:t xml:space="preserve">case is </w:t>
      </w:r>
      <w:r w:rsidR="009B70DE">
        <w:t>in favor of company. And hence no provision is required. Consultant certificate attached.</w:t>
      </w:r>
    </w:p>
    <w:sectPr w:rsidR="003F7EC2">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ossain, Faruk" w:date="2016-07-28T14:51:00Z" w:initials="HF">
    <w:p w14:paraId="43ECE4BC" w14:textId="77777777" w:rsidR="00F70058" w:rsidRDefault="00F70058">
      <w:pPr>
        <w:pStyle w:val="CommentText"/>
      </w:pPr>
      <w:r>
        <w:rPr>
          <w:rStyle w:val="CommentReference"/>
        </w:rPr>
        <w:annotationRef/>
      </w:r>
      <w:r>
        <w:t>Not standard working paper format like other workings.</w:t>
      </w:r>
    </w:p>
  </w:comment>
  <w:comment w:id="1" w:author="Hossain, Faruk" w:date="2016-07-28T14:55:00Z" w:initials="HF">
    <w:p w14:paraId="05098487" w14:textId="4FED7EC6" w:rsidR="004B42DA" w:rsidRDefault="004B42DA">
      <w:pPr>
        <w:pStyle w:val="CommentText"/>
      </w:pPr>
      <w:r>
        <w:rPr>
          <w:rStyle w:val="CommentReference"/>
        </w:rPr>
        <w:annotationRef/>
      </w:r>
      <w:r>
        <w:t>No indication of any year.</w:t>
      </w:r>
    </w:p>
  </w:comment>
  <w:comment w:id="2" w:author="Hossain, Faruk" w:date="2016-07-28T14:53:00Z" w:initials="HF">
    <w:p w14:paraId="7DAB8C9C" w14:textId="58F77888" w:rsidR="006B7F13" w:rsidRDefault="006B7F13">
      <w:pPr>
        <w:pStyle w:val="CommentText"/>
      </w:pPr>
      <w:r>
        <w:rPr>
          <w:rStyle w:val="CommentReference"/>
        </w:rPr>
        <w:annotationRef/>
      </w:r>
      <w:r>
        <w:t>Not in a standard working paper format (i.e. procedure name, objectives, assertion covered, procedure performed etc.)</w:t>
      </w:r>
    </w:p>
  </w:comment>
  <w:comment w:id="4" w:author="Hossain, Faruk" w:date="2016-07-28T15:46:00Z" w:initials="HF">
    <w:p w14:paraId="11565241" w14:textId="047735FE" w:rsidR="00C74431" w:rsidRDefault="00C74431">
      <w:pPr>
        <w:pStyle w:val="CommentText"/>
      </w:pPr>
      <w:r>
        <w:rPr>
          <w:rStyle w:val="CommentReference"/>
        </w:rPr>
        <w:annotationRef/>
      </w:r>
      <w:r>
        <w:t>I think we should reassess whether this type of info to be addressed in our working although the client name will not be addressed in dummy working file but the figures will be known to stakeholders/</w:t>
      </w:r>
      <w:proofErr w:type="spellStart"/>
      <w:r>
        <w:t>mgt</w:t>
      </w:r>
      <w:proofErr w:type="spellEnd"/>
      <w:r>
        <w:t>/employees of ACI Limited.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3ECE4BC" w15:done="0"/>
  <w15:commentEx w15:paraId="05098487" w15:done="0"/>
  <w15:commentEx w15:paraId="7DAB8C9C" w15:done="0"/>
  <w15:commentEx w15:paraId="1156524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7AF4B" w14:textId="77777777" w:rsidR="00FF62AA" w:rsidRDefault="00FF62AA" w:rsidP="00B96C89">
      <w:pPr>
        <w:spacing w:after="0" w:line="240" w:lineRule="auto"/>
      </w:pPr>
      <w:r>
        <w:separator/>
      </w:r>
    </w:p>
  </w:endnote>
  <w:endnote w:type="continuationSeparator" w:id="0">
    <w:p w14:paraId="27CEE6DA" w14:textId="77777777" w:rsidR="00FF62AA" w:rsidRDefault="00FF62AA" w:rsidP="00B96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1D161" w14:textId="77777777" w:rsidR="00FF62AA" w:rsidRDefault="00FF62AA" w:rsidP="00B96C89">
      <w:pPr>
        <w:spacing w:after="0" w:line="240" w:lineRule="auto"/>
      </w:pPr>
      <w:r>
        <w:separator/>
      </w:r>
    </w:p>
  </w:footnote>
  <w:footnote w:type="continuationSeparator" w:id="0">
    <w:p w14:paraId="1DF62038" w14:textId="77777777" w:rsidR="00FF62AA" w:rsidRDefault="00FF62AA" w:rsidP="00B96C89">
      <w:pPr>
        <w:spacing w:after="0" w:line="240" w:lineRule="auto"/>
      </w:pPr>
      <w:r>
        <w:continuationSeparator/>
      </w:r>
    </w:p>
  </w:footnote>
  <w:footnote w:id="1">
    <w:p w14:paraId="2A3A7A9D" w14:textId="77777777" w:rsidR="007157DC" w:rsidRPr="007157DC" w:rsidRDefault="007157DC" w:rsidP="007157DC">
      <w:pPr>
        <w:jc w:val="both"/>
        <w:rPr>
          <w:rFonts w:ascii="Times New Roman" w:hAnsi="Times New Roman" w:cs="Times New Roman"/>
          <w:sz w:val="24"/>
          <w:szCs w:val="24"/>
        </w:rPr>
      </w:pPr>
      <w:bookmarkStart w:id="3" w:name="_GoBack"/>
      <w:r w:rsidRPr="007157DC">
        <w:rPr>
          <w:rFonts w:ascii="Times New Roman" w:hAnsi="Times New Roman" w:cs="Times New Roman"/>
          <w:b/>
          <w:sz w:val="24"/>
          <w:szCs w:val="24"/>
        </w:rPr>
        <w:t>Disclaimer:</w:t>
      </w:r>
      <w:bookmarkEnd w:id="3"/>
      <w:r w:rsidRPr="007157DC">
        <w:rPr>
          <w:rFonts w:ascii="Times New Roman" w:hAnsi="Times New Roman" w:cs="Times New Roman"/>
          <w:sz w:val="24"/>
          <w:szCs w:val="24"/>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4ED7D62E" w14:textId="496FE4F9" w:rsidR="00C10AB3" w:rsidRDefault="00C10AB3">
      <w:pPr>
        <w:pStyle w:val="FootnoteText"/>
      </w:pPr>
      <w:r>
        <w:rPr>
          <w:rStyle w:val="FootnoteReference"/>
        </w:rPr>
        <w:footnoteRef/>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5FE0EB" w14:textId="77777777" w:rsidR="00B96C89" w:rsidRDefault="00B96C89">
    <w:pPr>
      <w:pStyle w:val="Header"/>
    </w:pPr>
  </w:p>
  <w:tbl>
    <w:tblPr>
      <w:tblW w:w="999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6"/>
      <w:gridCol w:w="3233"/>
      <w:gridCol w:w="2016"/>
      <w:gridCol w:w="1745"/>
    </w:tblGrid>
    <w:tr w:rsidR="00B96C89" w:rsidRPr="00FB5EF1" w14:paraId="6A2E7666" w14:textId="77777777" w:rsidTr="00934A41">
      <w:trPr>
        <w:cantSplit/>
        <w:trHeight w:val="290"/>
      </w:trPr>
      <w:tc>
        <w:tcPr>
          <w:tcW w:w="2996" w:type="dxa"/>
          <w:vAlign w:val="center"/>
        </w:tcPr>
        <w:p w14:paraId="74445F13"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Client: </w:t>
          </w:r>
          <w:r>
            <w:rPr>
              <w:rFonts w:ascii="Times New Roman" w:hAnsi="Times New Roman"/>
              <w:b/>
              <w:bCs/>
              <w:color w:val="auto"/>
              <w:sz w:val="22"/>
              <w:szCs w:val="20"/>
            </w:rPr>
            <w:t>XYZ Ltd</w:t>
          </w:r>
        </w:p>
      </w:tc>
      <w:tc>
        <w:tcPr>
          <w:tcW w:w="3233" w:type="dxa"/>
          <w:vAlign w:val="center"/>
        </w:tcPr>
        <w:p w14:paraId="7E005595"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Tailored by: </w:t>
          </w:r>
        </w:p>
      </w:tc>
      <w:tc>
        <w:tcPr>
          <w:tcW w:w="2016" w:type="dxa"/>
          <w:vAlign w:val="center"/>
        </w:tcPr>
        <w:p w14:paraId="6DE034BB"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Date: </w:t>
          </w:r>
        </w:p>
      </w:tc>
      <w:tc>
        <w:tcPr>
          <w:tcW w:w="1745" w:type="dxa"/>
          <w:vMerge w:val="restart"/>
          <w:vAlign w:val="center"/>
        </w:tcPr>
        <w:p w14:paraId="4D53D0A9" w14:textId="77777777" w:rsidR="00B96C89" w:rsidRDefault="00B96C89" w:rsidP="00B96C89">
          <w:pPr>
            <w:pStyle w:val="Default"/>
            <w:jc w:val="center"/>
            <w:rPr>
              <w:rFonts w:ascii="Times New Roman" w:hAnsi="Times New Roman"/>
              <w:b/>
              <w:bCs/>
              <w:color w:val="auto"/>
              <w:sz w:val="22"/>
              <w:szCs w:val="20"/>
            </w:rPr>
          </w:pPr>
          <w:r w:rsidRPr="00FB5EF1">
            <w:rPr>
              <w:rFonts w:ascii="Times New Roman" w:hAnsi="Times New Roman"/>
              <w:b/>
              <w:bCs/>
              <w:color w:val="auto"/>
              <w:sz w:val="22"/>
              <w:szCs w:val="20"/>
            </w:rPr>
            <w:t>Ref:</w:t>
          </w:r>
        </w:p>
        <w:p w14:paraId="2378BE6F" w14:textId="272CEA1D" w:rsidR="00B96C89" w:rsidRPr="00FB5EF1" w:rsidRDefault="00B96C89" w:rsidP="00B96C89">
          <w:pPr>
            <w:pStyle w:val="Default"/>
            <w:jc w:val="center"/>
            <w:rPr>
              <w:rFonts w:ascii="Times New Roman" w:hAnsi="Times New Roman"/>
              <w:b/>
              <w:bCs/>
              <w:color w:val="auto"/>
              <w:sz w:val="22"/>
              <w:szCs w:val="20"/>
            </w:rPr>
          </w:pPr>
          <w:r>
            <w:rPr>
              <w:rFonts w:ascii="Times New Roman" w:hAnsi="Times New Roman"/>
              <w:b/>
              <w:bCs/>
              <w:color w:val="auto"/>
              <w:sz w:val="22"/>
              <w:szCs w:val="20"/>
            </w:rPr>
            <w:t>U2.1.</w:t>
          </w:r>
          <w:r w:rsidRPr="0040020E">
            <w:rPr>
              <w:rFonts w:ascii="Times New Roman" w:hAnsi="Times New Roman"/>
              <w:b/>
              <w:bCs/>
              <w:color w:val="auto"/>
              <w:sz w:val="22"/>
              <w:szCs w:val="20"/>
            </w:rPr>
            <w:fldChar w:fldCharType="begin"/>
          </w:r>
          <w:r w:rsidRPr="0040020E">
            <w:rPr>
              <w:rFonts w:ascii="Times New Roman" w:hAnsi="Times New Roman"/>
              <w:b/>
              <w:bCs/>
              <w:color w:val="auto"/>
              <w:sz w:val="22"/>
              <w:szCs w:val="20"/>
            </w:rPr>
            <w:instrText xml:space="preserve"> PAGE   \* MERGEFORMAT </w:instrText>
          </w:r>
          <w:r w:rsidRPr="0040020E">
            <w:rPr>
              <w:rFonts w:ascii="Times New Roman" w:hAnsi="Times New Roman"/>
              <w:b/>
              <w:bCs/>
              <w:color w:val="auto"/>
              <w:sz w:val="22"/>
              <w:szCs w:val="20"/>
            </w:rPr>
            <w:fldChar w:fldCharType="separate"/>
          </w:r>
          <w:r w:rsidR="007157DC">
            <w:rPr>
              <w:rFonts w:ascii="Times New Roman" w:hAnsi="Times New Roman"/>
              <w:b/>
              <w:bCs/>
              <w:noProof/>
              <w:color w:val="auto"/>
              <w:sz w:val="22"/>
              <w:szCs w:val="20"/>
            </w:rPr>
            <w:t>1</w:t>
          </w:r>
          <w:r w:rsidRPr="0040020E">
            <w:rPr>
              <w:rFonts w:ascii="Times New Roman" w:hAnsi="Times New Roman"/>
              <w:b/>
              <w:bCs/>
              <w:noProof/>
              <w:color w:val="auto"/>
              <w:sz w:val="22"/>
              <w:szCs w:val="20"/>
            </w:rPr>
            <w:fldChar w:fldCharType="end"/>
          </w:r>
        </w:p>
      </w:tc>
    </w:tr>
    <w:tr w:rsidR="00B96C89" w:rsidRPr="00FB5EF1" w14:paraId="0DD645BB" w14:textId="77777777" w:rsidTr="00934A41">
      <w:trPr>
        <w:cantSplit/>
        <w:trHeight w:val="317"/>
      </w:trPr>
      <w:tc>
        <w:tcPr>
          <w:tcW w:w="2996" w:type="dxa"/>
        </w:tcPr>
        <w:p w14:paraId="13810B3D"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Year end: </w:t>
          </w:r>
          <w:r>
            <w:rPr>
              <w:rFonts w:ascii="Times New Roman" w:hAnsi="Times New Roman"/>
              <w:b/>
              <w:bCs/>
              <w:color w:val="auto"/>
              <w:sz w:val="22"/>
              <w:szCs w:val="20"/>
            </w:rPr>
            <w:t>31-12-14</w:t>
          </w:r>
        </w:p>
      </w:tc>
      <w:tc>
        <w:tcPr>
          <w:tcW w:w="3233" w:type="dxa"/>
        </w:tcPr>
        <w:p w14:paraId="5898D104"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Tailoring reviewed by: </w:t>
          </w:r>
        </w:p>
      </w:tc>
      <w:tc>
        <w:tcPr>
          <w:tcW w:w="2016" w:type="dxa"/>
        </w:tcPr>
        <w:p w14:paraId="79976695"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Date: </w:t>
          </w:r>
        </w:p>
      </w:tc>
      <w:tc>
        <w:tcPr>
          <w:tcW w:w="1745" w:type="dxa"/>
          <w:vMerge/>
        </w:tcPr>
        <w:p w14:paraId="4047640E" w14:textId="77777777" w:rsidR="00B96C89" w:rsidRPr="00FB5EF1" w:rsidRDefault="00B96C89" w:rsidP="00B96C89">
          <w:pPr>
            <w:pStyle w:val="Default"/>
            <w:rPr>
              <w:rFonts w:ascii="Times New Roman" w:hAnsi="Times New Roman"/>
              <w:b/>
              <w:bCs/>
              <w:color w:val="auto"/>
              <w:sz w:val="22"/>
            </w:rPr>
          </w:pPr>
        </w:p>
      </w:tc>
    </w:tr>
    <w:tr w:rsidR="00B96C89" w:rsidRPr="00FB5EF1" w14:paraId="52C9E5CD" w14:textId="77777777" w:rsidTr="00934A41">
      <w:trPr>
        <w:cantSplit/>
        <w:trHeight w:val="321"/>
      </w:trPr>
      <w:tc>
        <w:tcPr>
          <w:tcW w:w="2996" w:type="dxa"/>
        </w:tcPr>
        <w:p w14:paraId="703DC5D6"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File no: </w:t>
          </w:r>
        </w:p>
      </w:tc>
      <w:tc>
        <w:tcPr>
          <w:tcW w:w="3233" w:type="dxa"/>
        </w:tcPr>
        <w:p w14:paraId="0CDB97B5"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Completion reviewed by </w:t>
          </w:r>
        </w:p>
      </w:tc>
      <w:tc>
        <w:tcPr>
          <w:tcW w:w="2016" w:type="dxa"/>
        </w:tcPr>
        <w:p w14:paraId="5F57C30F" w14:textId="77777777" w:rsidR="00B96C89" w:rsidRPr="00FB5EF1" w:rsidRDefault="00B96C89" w:rsidP="00B96C89">
          <w:pPr>
            <w:pStyle w:val="Default"/>
            <w:rPr>
              <w:rFonts w:ascii="Times New Roman" w:hAnsi="Times New Roman"/>
              <w:b/>
              <w:bCs/>
              <w:color w:val="auto"/>
              <w:sz w:val="22"/>
              <w:szCs w:val="20"/>
            </w:rPr>
          </w:pPr>
          <w:r w:rsidRPr="00FB5EF1">
            <w:rPr>
              <w:rFonts w:ascii="Times New Roman" w:hAnsi="Times New Roman"/>
              <w:b/>
              <w:bCs/>
              <w:color w:val="auto"/>
              <w:sz w:val="22"/>
              <w:szCs w:val="20"/>
            </w:rPr>
            <w:t xml:space="preserve">Date: </w:t>
          </w:r>
        </w:p>
      </w:tc>
      <w:tc>
        <w:tcPr>
          <w:tcW w:w="1745" w:type="dxa"/>
          <w:vMerge/>
        </w:tcPr>
        <w:p w14:paraId="44E2FB27" w14:textId="77777777" w:rsidR="00B96C89" w:rsidRPr="00FB5EF1" w:rsidRDefault="00B96C89" w:rsidP="00B96C89">
          <w:pPr>
            <w:pStyle w:val="Default"/>
            <w:rPr>
              <w:rFonts w:ascii="Times New Roman" w:hAnsi="Times New Roman"/>
              <w:b/>
              <w:bCs/>
              <w:color w:val="auto"/>
              <w:sz w:val="22"/>
            </w:rPr>
          </w:pPr>
        </w:p>
      </w:tc>
    </w:tr>
  </w:tbl>
  <w:p w14:paraId="2681D320" w14:textId="77777777" w:rsidR="00B96C89" w:rsidRDefault="00B96C89">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ssain, Faruk">
    <w15:presenceInfo w15:providerId="None" w15:userId="Hossain, Far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021"/>
    <w:rsid w:val="001C0A70"/>
    <w:rsid w:val="001F3C39"/>
    <w:rsid w:val="003F7EC2"/>
    <w:rsid w:val="004B42DA"/>
    <w:rsid w:val="0054003D"/>
    <w:rsid w:val="0054540E"/>
    <w:rsid w:val="00601CE8"/>
    <w:rsid w:val="0065230E"/>
    <w:rsid w:val="006B7F13"/>
    <w:rsid w:val="0070391E"/>
    <w:rsid w:val="007157DC"/>
    <w:rsid w:val="00911D68"/>
    <w:rsid w:val="0093027A"/>
    <w:rsid w:val="009A26DF"/>
    <w:rsid w:val="009B70DE"/>
    <w:rsid w:val="00A10FB2"/>
    <w:rsid w:val="00AB631D"/>
    <w:rsid w:val="00B96C89"/>
    <w:rsid w:val="00C10AB3"/>
    <w:rsid w:val="00C40568"/>
    <w:rsid w:val="00C74431"/>
    <w:rsid w:val="00EA32C2"/>
    <w:rsid w:val="00F05021"/>
    <w:rsid w:val="00F70058"/>
    <w:rsid w:val="00FE19EA"/>
    <w:rsid w:val="00FF62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B75DE"/>
  <w15:chartTrackingRefBased/>
  <w15:docId w15:val="{3E10E364-EDCF-44F5-BDFF-C357F3E58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C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6C89"/>
  </w:style>
  <w:style w:type="paragraph" w:styleId="Footer">
    <w:name w:val="footer"/>
    <w:basedOn w:val="Normal"/>
    <w:link w:val="FooterChar"/>
    <w:uiPriority w:val="99"/>
    <w:unhideWhenUsed/>
    <w:rsid w:val="00B96C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6C89"/>
  </w:style>
  <w:style w:type="paragraph" w:customStyle="1" w:styleId="Default">
    <w:name w:val="Default"/>
    <w:rsid w:val="00B96C89"/>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table" w:styleId="TableGrid">
    <w:name w:val="Table Grid"/>
    <w:basedOn w:val="TableNormal"/>
    <w:uiPriority w:val="39"/>
    <w:rsid w:val="00B96C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70058"/>
    <w:rPr>
      <w:sz w:val="16"/>
      <w:szCs w:val="16"/>
    </w:rPr>
  </w:style>
  <w:style w:type="paragraph" w:styleId="CommentText">
    <w:name w:val="annotation text"/>
    <w:basedOn w:val="Normal"/>
    <w:link w:val="CommentTextChar"/>
    <w:uiPriority w:val="99"/>
    <w:semiHidden/>
    <w:unhideWhenUsed/>
    <w:rsid w:val="00F70058"/>
    <w:pPr>
      <w:spacing w:line="240" w:lineRule="auto"/>
    </w:pPr>
    <w:rPr>
      <w:sz w:val="20"/>
      <w:szCs w:val="20"/>
    </w:rPr>
  </w:style>
  <w:style w:type="character" w:customStyle="1" w:styleId="CommentTextChar">
    <w:name w:val="Comment Text Char"/>
    <w:basedOn w:val="DefaultParagraphFont"/>
    <w:link w:val="CommentText"/>
    <w:uiPriority w:val="99"/>
    <w:semiHidden/>
    <w:rsid w:val="00F70058"/>
    <w:rPr>
      <w:sz w:val="20"/>
      <w:szCs w:val="20"/>
    </w:rPr>
  </w:style>
  <w:style w:type="paragraph" w:styleId="CommentSubject">
    <w:name w:val="annotation subject"/>
    <w:basedOn w:val="CommentText"/>
    <w:next w:val="CommentText"/>
    <w:link w:val="CommentSubjectChar"/>
    <w:uiPriority w:val="99"/>
    <w:semiHidden/>
    <w:unhideWhenUsed/>
    <w:rsid w:val="00F70058"/>
    <w:rPr>
      <w:b/>
      <w:bCs/>
    </w:rPr>
  </w:style>
  <w:style w:type="character" w:customStyle="1" w:styleId="CommentSubjectChar">
    <w:name w:val="Comment Subject Char"/>
    <w:basedOn w:val="CommentTextChar"/>
    <w:link w:val="CommentSubject"/>
    <w:uiPriority w:val="99"/>
    <w:semiHidden/>
    <w:rsid w:val="00F70058"/>
    <w:rPr>
      <w:b/>
      <w:bCs/>
      <w:sz w:val="20"/>
      <w:szCs w:val="20"/>
    </w:rPr>
  </w:style>
  <w:style w:type="paragraph" w:styleId="BalloonText">
    <w:name w:val="Balloon Text"/>
    <w:basedOn w:val="Normal"/>
    <w:link w:val="BalloonTextChar"/>
    <w:uiPriority w:val="99"/>
    <w:semiHidden/>
    <w:unhideWhenUsed/>
    <w:rsid w:val="00F70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0058"/>
    <w:rPr>
      <w:rFonts w:ascii="Segoe UI" w:hAnsi="Segoe UI" w:cs="Segoe UI"/>
      <w:sz w:val="18"/>
      <w:szCs w:val="18"/>
    </w:rPr>
  </w:style>
  <w:style w:type="paragraph" w:styleId="FootnoteText">
    <w:name w:val="footnote text"/>
    <w:basedOn w:val="Normal"/>
    <w:link w:val="FootnoteTextChar"/>
    <w:uiPriority w:val="99"/>
    <w:semiHidden/>
    <w:unhideWhenUsed/>
    <w:rsid w:val="00C10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0AB3"/>
    <w:rPr>
      <w:sz w:val="20"/>
      <w:szCs w:val="20"/>
    </w:rPr>
  </w:style>
  <w:style w:type="character" w:styleId="FootnoteReference">
    <w:name w:val="footnote reference"/>
    <w:basedOn w:val="DefaultParagraphFont"/>
    <w:uiPriority w:val="99"/>
    <w:semiHidden/>
    <w:unhideWhenUsed/>
    <w:rsid w:val="00C10A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D790E-D8D3-4B89-9924-8D9D86BE6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18</cp:revision>
  <dcterms:created xsi:type="dcterms:W3CDTF">2016-06-16T11:12:00Z</dcterms:created>
  <dcterms:modified xsi:type="dcterms:W3CDTF">2020-07-18T17:35:00Z</dcterms:modified>
</cp:coreProperties>
</file>